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BB424" w14:textId="2E960603" w:rsidR="009F147C" w:rsidRPr="009F147C" w:rsidRDefault="009F147C" w:rsidP="009F147C">
      <w:pPr>
        <w:pStyle w:val="01Title"/>
        <w:jc w:val="center"/>
        <w:rPr>
          <w:sz w:val="36"/>
          <w:szCs w:val="24"/>
          <w:lang w:eastAsia="zh-CN"/>
        </w:rPr>
      </w:pPr>
      <w:r w:rsidRPr="009F147C">
        <w:rPr>
          <w:rFonts w:hint="eastAsia"/>
          <w:sz w:val="36"/>
          <w:szCs w:val="24"/>
          <w:lang w:eastAsia="zh-CN"/>
        </w:rPr>
        <w:t>Supplementary</w:t>
      </w:r>
      <w:r w:rsidRPr="009F147C">
        <w:rPr>
          <w:sz w:val="36"/>
          <w:szCs w:val="24"/>
          <w:lang w:eastAsia="zh-CN"/>
        </w:rPr>
        <w:t xml:space="preserve"> </w:t>
      </w:r>
      <w:r w:rsidRPr="009F147C">
        <w:rPr>
          <w:rFonts w:hint="eastAsia"/>
          <w:sz w:val="36"/>
          <w:szCs w:val="24"/>
          <w:lang w:eastAsia="zh-CN"/>
        </w:rPr>
        <w:t>Information</w:t>
      </w:r>
    </w:p>
    <w:p w14:paraId="19D94347" w14:textId="77777777" w:rsidR="009F147C" w:rsidRDefault="009F147C" w:rsidP="00474C0F">
      <w:pPr>
        <w:pStyle w:val="01Title"/>
        <w:rPr>
          <w:lang w:eastAsia="zh-CN"/>
        </w:rPr>
      </w:pPr>
    </w:p>
    <w:p w14:paraId="1A45EAB2" w14:textId="77777777" w:rsidR="009F147C" w:rsidRDefault="009F147C" w:rsidP="00474C0F">
      <w:pPr>
        <w:pStyle w:val="01Title"/>
        <w:rPr>
          <w:lang w:eastAsia="zh-CN"/>
        </w:rPr>
      </w:pPr>
    </w:p>
    <w:p w14:paraId="4648662D" w14:textId="73A5A9D0" w:rsidR="00EC1A15" w:rsidRPr="00EC1A15" w:rsidRDefault="00F03760" w:rsidP="00474C0F">
      <w:pPr>
        <w:pStyle w:val="01Title"/>
      </w:pPr>
      <w:r>
        <w:rPr>
          <w:lang w:eastAsia="zh-CN"/>
        </w:rPr>
        <w:t>‘</w:t>
      </w:r>
      <w:r w:rsidR="009F147C">
        <w:rPr>
          <w:rFonts w:hint="eastAsia"/>
          <w:lang w:eastAsia="zh-CN"/>
        </w:rPr>
        <w:t>Plug-and-play</w:t>
      </w:r>
      <w:r>
        <w:rPr>
          <w:lang w:eastAsia="zh-CN"/>
        </w:rPr>
        <w:t xml:space="preserve">’ </w:t>
      </w:r>
      <w:r w:rsidR="00EC1A15">
        <w:t>p</w:t>
      </w:r>
      <w:r w:rsidR="00EC1A15" w:rsidRPr="00026739">
        <w:t xml:space="preserve">lasmonic </w:t>
      </w:r>
      <w:r>
        <w:t>metafiber</w:t>
      </w:r>
      <w:r w:rsidR="00EC1A15" w:rsidRPr="00026739">
        <w:t xml:space="preserve">s </w:t>
      </w:r>
      <w:r w:rsidR="00EC1A15" w:rsidRPr="00026739">
        <w:rPr>
          <w:rFonts w:hint="eastAsia"/>
        </w:rPr>
        <w:t xml:space="preserve">for </w:t>
      </w:r>
      <w:r w:rsidR="00EC1A15">
        <w:t>u</w:t>
      </w:r>
      <w:r w:rsidR="00EC1A15" w:rsidRPr="00026739">
        <w:t xml:space="preserve">ltrafast </w:t>
      </w:r>
      <w:r>
        <w:t>fibre</w:t>
      </w:r>
      <w:r w:rsidR="00EC1A15" w:rsidRPr="00026739">
        <w:t xml:space="preserve"> </w:t>
      </w:r>
      <w:r w:rsidR="00EC1A15">
        <w:t>l</w:t>
      </w:r>
      <w:r w:rsidR="00EC1A15" w:rsidRPr="00026739">
        <w:t>asers</w:t>
      </w:r>
    </w:p>
    <w:p w14:paraId="78DEF0D8" w14:textId="2E35491F" w:rsidR="00474C0F" w:rsidRPr="00474C0F" w:rsidRDefault="00474C0F" w:rsidP="00474C0F">
      <w:pPr>
        <w:pStyle w:val="08SectionHeader10"/>
      </w:pPr>
      <w:bookmarkStart w:id="0" w:name="_Toc92435867"/>
      <w:r w:rsidRPr="00474C0F">
        <w:rPr>
          <w:rFonts w:hint="eastAsia"/>
        </w:rPr>
        <w:t>1</w:t>
      </w:r>
      <w:r w:rsidRPr="00474C0F">
        <w:t xml:space="preserve">. Nanofabrication of the </w:t>
      </w:r>
      <w:r w:rsidR="00F03760">
        <w:t>metafiber</w:t>
      </w:r>
      <w:r w:rsidRPr="00474C0F">
        <w:t xml:space="preserve"> using EBL</w:t>
      </w:r>
      <w:bookmarkEnd w:id="0"/>
    </w:p>
    <w:p w14:paraId="1BCA7F8A" w14:textId="77777777" w:rsidR="00474C0F" w:rsidRDefault="00474C0F" w:rsidP="00714ACE">
      <w:pPr>
        <w:spacing w:before="120" w:after="0"/>
        <w:jc w:val="center"/>
        <w:rPr>
          <w:rFonts w:ascii="Times New Roman" w:hAnsi="Times New Roman"/>
        </w:rPr>
      </w:pPr>
      <w:r>
        <w:rPr>
          <w:rFonts w:ascii="Times New Roman" w:hAnsi="Times New Roman"/>
          <w:noProof/>
        </w:rPr>
        <w:drawing>
          <wp:inline distT="0" distB="0" distL="0" distR="0" wp14:anchorId="109C475C" wp14:editId="157D6BA5">
            <wp:extent cx="4671516" cy="1443937"/>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1516" cy="1443937"/>
                    </a:xfrm>
                    <a:prstGeom prst="rect">
                      <a:avLst/>
                    </a:prstGeom>
                    <a:noFill/>
                    <a:ln>
                      <a:noFill/>
                    </a:ln>
                  </pic:spPr>
                </pic:pic>
              </a:graphicData>
            </a:graphic>
          </wp:inline>
        </w:drawing>
      </w:r>
    </w:p>
    <w:p w14:paraId="428B885B" w14:textId="2AAE211A" w:rsidR="00474C0F" w:rsidRPr="00A32E35" w:rsidRDefault="00474C0F" w:rsidP="00F93D5F">
      <w:pPr>
        <w:pStyle w:val="12FigureCaptionShort"/>
        <w:jc w:val="both"/>
        <w:rPr>
          <w:rFonts w:ascii="Arial" w:hAnsi="Arial" w:cs="Arial"/>
        </w:rPr>
      </w:pPr>
      <w:r w:rsidRPr="00A32E35">
        <w:rPr>
          <w:rFonts w:ascii="Arial" w:hAnsi="Arial" w:cs="Arial"/>
        </w:rPr>
        <w:t>Fig</w:t>
      </w:r>
      <w:r w:rsidR="00CD3D08" w:rsidRPr="00A32E35">
        <w:rPr>
          <w:rFonts w:ascii="Arial" w:hAnsi="Arial" w:cs="Arial"/>
        </w:rPr>
        <w:t>.</w:t>
      </w:r>
      <w:r w:rsidRPr="00A32E35">
        <w:rPr>
          <w:rFonts w:ascii="Arial" w:hAnsi="Arial" w:cs="Arial"/>
        </w:rPr>
        <w:t xml:space="preserve"> S1. The schematic process flow of nanofabrication on the </w:t>
      </w:r>
      <w:r w:rsidR="00F03760">
        <w:rPr>
          <w:rFonts w:ascii="Arial" w:hAnsi="Arial" w:cs="Arial"/>
        </w:rPr>
        <w:t>fibre</w:t>
      </w:r>
      <w:r w:rsidRPr="00A32E35">
        <w:rPr>
          <w:rFonts w:ascii="Arial" w:hAnsi="Arial" w:cs="Arial"/>
        </w:rPr>
        <w:t xml:space="preserve"> tips </w:t>
      </w:r>
      <w:r w:rsidRPr="00A32E35">
        <w:rPr>
          <w:rFonts w:ascii="Arial" w:hAnsi="Arial" w:cs="Arial" w:hint="eastAsia"/>
        </w:rPr>
        <w:t>of</w:t>
      </w:r>
      <w:r w:rsidRPr="00A32E35">
        <w:rPr>
          <w:rFonts w:ascii="Arial" w:hAnsi="Arial" w:cs="Arial"/>
        </w:rPr>
        <w:t xml:space="preserve"> SMJPs using EBL. (a) Pre-cleaning a SMFJ tip. (b) Home-built </w:t>
      </w:r>
      <w:r w:rsidR="00F03760">
        <w:rPr>
          <w:rFonts w:ascii="Arial" w:hAnsi="Arial" w:cs="Arial"/>
        </w:rPr>
        <w:t>fibre</w:t>
      </w:r>
      <w:r w:rsidRPr="00A32E35">
        <w:rPr>
          <w:rFonts w:ascii="Arial" w:hAnsi="Arial" w:cs="Arial"/>
        </w:rPr>
        <w:t xml:space="preserve"> adapter. (c) The thickness of electron-sensitive resist as functions of spin-coating speed and the acceleration (inset). The blue diamonds and the dashed red curves are the experimental and fitted data, respectively.</w:t>
      </w:r>
    </w:p>
    <w:p w14:paraId="7DFADFE0" w14:textId="5103C335" w:rsidR="00474C0F" w:rsidRPr="00474C0F" w:rsidRDefault="00474C0F" w:rsidP="00474C0F">
      <w:pPr>
        <w:pStyle w:val="09BodyFirstParagraph"/>
      </w:pPr>
      <w:r>
        <w:t xml:space="preserve">To fabricate the well-patterned metasurfaces on the endface of a commercial single-mode </w:t>
      </w:r>
      <w:r w:rsidR="00F03760">
        <w:t>fibre</w:t>
      </w:r>
      <w:r>
        <w:t xml:space="preserve"> jumper (SMFJ) by using electron-beam lithography (EBL), standard procedures including cleaning, spin-coating, electron-beam exposure, development, physical vapor deposition and lift-off are performed. </w:t>
      </w:r>
      <w:r w:rsidRPr="0030403D">
        <w:t xml:space="preserve">A SMFJ is cut into two identical parts, each of which maintains a standard connector in one end. The </w:t>
      </w:r>
      <w:r w:rsidR="00F03760">
        <w:t>fibre</w:t>
      </w:r>
      <w:r w:rsidRPr="0030403D">
        <w:t xml:space="preserve"> tips with the connector of SMFJs are dipped into chemical solvents of a beaker (Fig. S1(a)), and then sequentially cleaned by acetone, isopropanol and deionized water in an ultrasonic sink for 10 min for each step. The </w:t>
      </w:r>
      <w:r w:rsidR="00F03760">
        <w:t>fibre</w:t>
      </w:r>
      <w:r w:rsidRPr="0030403D">
        <w:t xml:space="preserve"> tips are dried by nitrogen flows and then mounted to a coaxial </w:t>
      </w:r>
      <w:r w:rsidR="00F03760">
        <w:t>fibre</w:t>
      </w:r>
      <w:r w:rsidRPr="0030403D">
        <w:t xml:space="preserve"> adaptor (Fig. S1(b)), while the other end without the connector passes through a hole drilled at the bottom of the rotating/translating chunk and twines around the body, as illustrated in Fig. 1(b1-b3).</w:t>
      </w:r>
      <w:r>
        <w:t xml:space="preserve"> The top surface of the </w:t>
      </w:r>
      <w:r w:rsidR="00F03760">
        <w:t>fibre</w:t>
      </w:r>
      <w:r>
        <w:t xml:space="preserve"> adaptor is designed slightly lower than the SMFJ endface, so that the spreading resist isn’t bounced</w:t>
      </w:r>
      <w:r w:rsidRPr="00F65D62">
        <w:t xml:space="preserve"> </w:t>
      </w:r>
      <w:r>
        <w:t xml:space="preserve">back once it touches the tip-adaptor boundary during the spin-coating. The </w:t>
      </w:r>
      <w:r w:rsidR="00F03760">
        <w:t>fibre</w:t>
      </w:r>
      <w:r>
        <w:t xml:space="preserve"> adaptor can be connected with a home-made rotating chunk </w:t>
      </w:r>
      <w:r>
        <w:rPr>
          <w:rFonts w:hint="eastAsia"/>
        </w:rPr>
        <w:t>via</w:t>
      </w:r>
      <w:r>
        <w:t xml:space="preserve"> four screws, as shown in Fig. 1(b1) in the main text. The bottom part of the rotating chunk is designed to adapt a commercial spin-coater (</w:t>
      </w:r>
      <w:r w:rsidRPr="00363A92">
        <w:t>SUSS MicroTec</w:t>
      </w:r>
      <w:r>
        <w:t xml:space="preserve">). 30 uL of electron-sensitive resist (PMMA 950K, Allresist) is dropped on the </w:t>
      </w:r>
      <w:r w:rsidR="00F03760">
        <w:t>fibre</w:t>
      </w:r>
      <w:r>
        <w:t xml:space="preserve"> tip. In accordance with our empirical database (Fig. S1(c)), the following parameters for spin-coating are prudently used to obtain a </w:t>
      </w:r>
      <w:r w:rsidRPr="006507B7">
        <w:t>200 ± 5 nm</w:t>
      </w:r>
      <w:r>
        <w:t xml:space="preserve"> thickness of electron resist: speed-7000 rpm and acceleration-1500 </w:t>
      </w:r>
      <w:r w:rsidRPr="00336BFA">
        <w:t>rpm</w:t>
      </w:r>
      <w:r w:rsidR="002D0D89">
        <w:t xml:space="preserve"> </w:t>
      </w:r>
      <w:r>
        <w:t>s</w:t>
      </w:r>
      <w:r w:rsidR="002D0D89" w:rsidRPr="002D0D89">
        <w:rPr>
          <w:rFonts w:hint="eastAsia"/>
          <w:vertAlign w:val="superscript"/>
          <w:lang w:eastAsia="zh-CN"/>
        </w:rPr>
        <w:t>-</w:t>
      </w:r>
      <w:r w:rsidR="002D0D89" w:rsidRPr="002D0D89">
        <w:rPr>
          <w:vertAlign w:val="superscript"/>
        </w:rPr>
        <w:t>1</w:t>
      </w:r>
      <w:r>
        <w:t>. The rotating chunk is then flipped top down and placed on a hot plate for soft baking (</w:t>
      </w:r>
      <w:r w:rsidRPr="006507B7">
        <w:t>175 ℃ for 3 min</w:t>
      </w:r>
      <w:r>
        <w:t>),</w:t>
      </w:r>
      <w:r w:rsidRPr="007543B4">
        <w:t xml:space="preserve"> </w:t>
      </w:r>
      <w:r>
        <w:t xml:space="preserve">as shown in Fig. 1(b2) in the main text. The spacing between the </w:t>
      </w:r>
      <w:r w:rsidR="00F03760">
        <w:t>fibre</w:t>
      </w:r>
      <w:r>
        <w:t xml:space="preserve"> endface and the top surface of the hot plate is guaranteed by the screws’ heads: </w:t>
      </w:r>
      <w:r w:rsidRPr="00363A92">
        <w:t>2.5</w:t>
      </w:r>
      <w:r>
        <w:t xml:space="preserve"> mm. The </w:t>
      </w:r>
      <w:r w:rsidR="00F03760">
        <w:t>fibre</w:t>
      </w:r>
      <w:r>
        <w:t xml:space="preserve"> tip is then spin-coated with a thin layer of conductive polymer (~ 40 nm, </w:t>
      </w:r>
      <w:r>
        <w:rPr>
          <w:rFonts w:hint="eastAsia"/>
        </w:rPr>
        <w:t>AR-PC</w:t>
      </w:r>
      <w:r>
        <w:t xml:space="preserve"> 5090.02, </w:t>
      </w:r>
      <w:r>
        <w:rPr>
          <w:rFonts w:hint="eastAsia"/>
        </w:rPr>
        <w:t>Allresist</w:t>
      </w:r>
      <w:r>
        <w:t xml:space="preserve">) to weaken the charge accumulations during the electron-beam observations or exposures. The </w:t>
      </w:r>
      <w:r w:rsidR="00F03760">
        <w:t>fibre</w:t>
      </w:r>
      <w:r>
        <w:t xml:space="preserve"> adaptor is removed from the rotating chunk to a home-built translating chunk, which is adapted to the scanning stage of a commercial SEM (Zeiss </w:t>
      </w:r>
      <w:r w:rsidRPr="00363A92">
        <w:rPr>
          <w:rFonts w:hint="eastAsia"/>
        </w:rPr>
        <w:t>Crossbeam</w:t>
      </w:r>
      <w:r w:rsidRPr="00363A92">
        <w:t xml:space="preserve"> 550</w:t>
      </w:r>
      <w:r>
        <w:t>),</w:t>
      </w:r>
      <w:r w:rsidRPr="007543B4">
        <w:t xml:space="preserve"> </w:t>
      </w:r>
      <w:r>
        <w:t xml:space="preserve">as shown in Fig. 1(b3) in the main text. After the patterning, the </w:t>
      </w:r>
      <w:r w:rsidR="00F03760">
        <w:t>fibre</w:t>
      </w:r>
      <w:r>
        <w:t xml:space="preserve"> is unloaded from the </w:t>
      </w:r>
      <w:r w:rsidR="00F03760">
        <w:t>fibre</w:t>
      </w:r>
      <w:r>
        <w:t xml:space="preserve"> adaptor and </w:t>
      </w:r>
      <w:r w:rsidRPr="006507B7">
        <w:t>the conductive polymer is first removed by dipping the</w:t>
      </w:r>
      <w:r>
        <w:t xml:space="preserve"> </w:t>
      </w:r>
      <w:r w:rsidR="00F03760">
        <w:t>fibre</w:t>
      </w:r>
      <w:r>
        <w:t xml:space="preserve"> tips</w:t>
      </w:r>
      <w:r w:rsidRPr="006507B7">
        <w:t xml:space="preserve"> into deionized water</w:t>
      </w:r>
      <w:r>
        <w:t>. T</w:t>
      </w:r>
      <w:r w:rsidRPr="006507B7">
        <w:t xml:space="preserve">he </w:t>
      </w:r>
      <w:r>
        <w:rPr>
          <w:rFonts w:hint="eastAsia"/>
        </w:rPr>
        <w:t>optical</w:t>
      </w:r>
      <w:r>
        <w:t xml:space="preserve"> </w:t>
      </w:r>
      <w:r w:rsidR="00F03760">
        <w:t>fibre</w:t>
      </w:r>
      <w:r w:rsidRPr="006507B7">
        <w:t xml:space="preserve"> is </w:t>
      </w:r>
      <w:r>
        <w:t xml:space="preserve">then </w:t>
      </w:r>
      <w:r>
        <w:lastRenderedPageBreak/>
        <w:t>sequentially</w:t>
      </w:r>
      <w:r w:rsidRPr="006507B7">
        <w:t xml:space="preserve"> dipped into </w:t>
      </w:r>
      <w:r>
        <w:t xml:space="preserve">the </w:t>
      </w:r>
      <w:r w:rsidRPr="006507B7">
        <w:t>developer (</w:t>
      </w:r>
      <w:r>
        <w:rPr>
          <w:rFonts w:hint="eastAsia"/>
        </w:rPr>
        <w:t>A</w:t>
      </w:r>
      <w:r>
        <w:t>llresist, 1 min</w:t>
      </w:r>
      <w:r w:rsidRPr="006507B7">
        <w:t>) and stopper (Allresisit</w:t>
      </w:r>
      <w:r>
        <w:t>, 1min</w:t>
      </w:r>
      <w:r w:rsidRPr="006507B7">
        <w:t xml:space="preserve">) </w:t>
      </w:r>
      <w:r>
        <w:t xml:space="preserve">for the development. </w:t>
      </w:r>
      <w:r>
        <w:rPr>
          <w:rFonts w:hint="eastAsia"/>
        </w:rPr>
        <w:t>The</w:t>
      </w:r>
      <w:r>
        <w:t xml:space="preserve"> well-patterned </w:t>
      </w:r>
      <w:r>
        <w:rPr>
          <w:rFonts w:hint="eastAsia"/>
        </w:rPr>
        <w:t>SMFJ</w:t>
      </w:r>
      <w:r>
        <w:t xml:space="preserve"> </w:t>
      </w:r>
      <w:r>
        <w:rPr>
          <w:rFonts w:hint="eastAsia"/>
        </w:rPr>
        <w:t>is</w:t>
      </w:r>
      <w:r>
        <w:t xml:space="preserve"> then transferred to a home-built </w:t>
      </w:r>
      <w:r w:rsidRPr="00666CC4">
        <w:t>evaporation adaptor for depositing the target materials</w:t>
      </w:r>
      <w:r>
        <w:t xml:space="preserve"> (3 nm Cr and 5</w:t>
      </w:r>
      <w:r w:rsidRPr="00286EE2">
        <w:t>0 nm</w:t>
      </w:r>
      <w:r>
        <w:t xml:space="preserve"> Au)</w:t>
      </w:r>
      <w:r w:rsidRPr="00666CC4">
        <w:t>, as illustrated in Fig. 1(b4)</w:t>
      </w:r>
      <w:r>
        <w:t xml:space="preserve"> in the main text. After remaining the SMFJ into the </w:t>
      </w:r>
      <w:r>
        <w:rPr>
          <w:rFonts w:hint="eastAsia"/>
        </w:rPr>
        <w:t>a</w:t>
      </w:r>
      <w:r>
        <w:t>cetone for more than 24 h, we finally obtain the plasmonic metasurfaces (Au nanorods array) on the SMFJ end face</w:t>
      </w:r>
      <w:r>
        <w:rPr>
          <w:rFonts w:hint="eastAsia"/>
        </w:rPr>
        <w:t>t</w:t>
      </w:r>
      <w:r>
        <w:t xml:space="preserve"> following a standard lift-off process.</w:t>
      </w:r>
    </w:p>
    <w:p w14:paraId="1C6B85E5" w14:textId="6FE09390" w:rsidR="00474C0F" w:rsidRPr="00CD3D08" w:rsidRDefault="00474C0F" w:rsidP="00CD3D08">
      <w:pPr>
        <w:pStyle w:val="08SectionHeader10"/>
      </w:pPr>
      <w:bookmarkStart w:id="1" w:name="_Toc92435868"/>
      <w:r w:rsidRPr="00CD3D08">
        <w:t xml:space="preserve">2. Nanofabrication of the </w:t>
      </w:r>
      <w:r w:rsidR="00F03760">
        <w:t>metafiber</w:t>
      </w:r>
      <w:r w:rsidRPr="00CD3D08">
        <w:t xml:space="preserve"> using FIB</w:t>
      </w:r>
      <w:bookmarkEnd w:id="1"/>
    </w:p>
    <w:p w14:paraId="63FC5CDC" w14:textId="59AA67A5" w:rsidR="00474C0F" w:rsidRDefault="00474C0F" w:rsidP="00CD3D08">
      <w:pPr>
        <w:pStyle w:val="09BodyFirstParagraph"/>
      </w:pPr>
      <w:r>
        <w:t xml:space="preserve">The </w:t>
      </w:r>
      <w:r w:rsidR="00F03760">
        <w:t>fibre</w:t>
      </w:r>
      <w:r>
        <w:t xml:space="preserve"> tips of SMFJs are cleaned and dried in accordance with the procedures described above. They are then mounted on a home-built evaporation adaptor, </w:t>
      </w:r>
      <w:r w:rsidRPr="00666CC4">
        <w:t>as illustrated in Fig. 1(b4)</w:t>
      </w:r>
      <w:r>
        <w:t xml:space="preserve"> in the main text. </w:t>
      </w:r>
      <w:r>
        <w:rPr>
          <w:rFonts w:hint="eastAsia"/>
        </w:rPr>
        <w:t>T</w:t>
      </w:r>
      <w:r>
        <w:t xml:space="preserve">he evaporation adaptor is then adapted to the sample holder of a commercial evaporator (ULVAC ei-5z) for depositing the target materials (3 nm Cr and 60 nm Au). The coated SMFJs are then removed from the evaporation adaptor to the home-built </w:t>
      </w:r>
      <w:r w:rsidR="00F03760">
        <w:t>fibre</w:t>
      </w:r>
      <w:r>
        <w:t xml:space="preserve"> adaptors. A home-built translating chunk connecting the </w:t>
      </w:r>
      <w:r w:rsidR="00F03760">
        <w:t>fibre</w:t>
      </w:r>
      <w:r>
        <w:t xml:space="preserve"> adaptor is adapted to the electrically driving stage of a commercial FIB </w:t>
      </w:r>
      <w:r w:rsidRPr="00D2143F">
        <w:t>apparatus</w:t>
      </w:r>
      <w:r>
        <w:t xml:space="preserve"> (</w:t>
      </w:r>
      <w:r w:rsidRPr="00666CC4">
        <w:t>Carl Zeiss, ORION NanoFab, USA</w:t>
      </w:r>
      <w:r>
        <w:t xml:space="preserve">) for the milling, as illustrated in Fig. 1(c1) in the main text. There are two kinds of ionized beams in the FIB chamber: </w:t>
      </w:r>
      <w:r w:rsidRPr="008C528D">
        <w:t>He</w:t>
      </w:r>
      <w:r w:rsidRPr="00E976D1">
        <w:rPr>
          <w:vertAlign w:val="superscript"/>
        </w:rPr>
        <w:t>+</w:t>
      </w:r>
      <w:r w:rsidRPr="00CD3D08">
        <w:t xml:space="preserve"> </w:t>
      </w:r>
      <w:r>
        <w:t xml:space="preserve">and </w:t>
      </w:r>
      <w:r w:rsidRPr="008C528D">
        <w:t>Ga</w:t>
      </w:r>
      <w:r w:rsidRPr="00E976D1">
        <w:rPr>
          <w:vertAlign w:val="superscript"/>
        </w:rPr>
        <w:t>+</w:t>
      </w:r>
      <w:r>
        <w:t>, in which</w:t>
      </w:r>
      <w:r w:rsidRPr="008C528D">
        <w:t xml:space="preserve"> He</w:t>
      </w:r>
      <w:r w:rsidRPr="00E976D1">
        <w:rPr>
          <w:vertAlign w:val="superscript"/>
        </w:rPr>
        <w:t>+</w:t>
      </w:r>
      <w:r w:rsidRPr="00CD3D08">
        <w:t xml:space="preserve"> </w:t>
      </w:r>
      <w:r w:rsidRPr="008C528D">
        <w:t xml:space="preserve">beam is used for </w:t>
      </w:r>
      <w:r>
        <w:t xml:space="preserve">the </w:t>
      </w:r>
      <w:r w:rsidRPr="008C528D">
        <w:t>imaging and the Ga</w:t>
      </w:r>
      <w:r w:rsidRPr="00E976D1">
        <w:rPr>
          <w:vertAlign w:val="superscript"/>
        </w:rPr>
        <w:t>+</w:t>
      </w:r>
      <w:r w:rsidRPr="00CD3D08">
        <w:t xml:space="preserve"> </w:t>
      </w:r>
      <w:r w:rsidRPr="008C528D">
        <w:t xml:space="preserve">beam is for </w:t>
      </w:r>
      <w:r>
        <w:t xml:space="preserve">the </w:t>
      </w:r>
      <w:r w:rsidRPr="008C528D">
        <w:t>milling.</w:t>
      </w:r>
      <w:r>
        <w:t xml:space="preserve"> There is an angle of </w:t>
      </w:r>
      <w:r w:rsidRPr="00F470FD">
        <w:t>54°</w:t>
      </w:r>
      <w:r>
        <w:t xml:space="preserve"> between the two beam columns. During the milling, the translating chunk is tilted an angle </w:t>
      </w:r>
      <w:r w:rsidRPr="00F470FD">
        <w:t>of 54°</w:t>
      </w:r>
      <w:r w:rsidRPr="008C528D">
        <w:t xml:space="preserve"> </w:t>
      </w:r>
      <w:r>
        <w:t>in</w:t>
      </w:r>
      <w:r w:rsidRPr="008C528D">
        <w:t xml:space="preserve"> horizontal direction</w:t>
      </w:r>
      <w:r>
        <w:t xml:space="preserve"> for a normal milling of the </w:t>
      </w:r>
      <w:r w:rsidRPr="008C528D">
        <w:t>Ga</w:t>
      </w:r>
      <w:r w:rsidRPr="00E976D1">
        <w:rPr>
          <w:vertAlign w:val="superscript"/>
        </w:rPr>
        <w:t>+</w:t>
      </w:r>
      <w:r>
        <w:t xml:space="preserve"> beam, as illustrated in Fig. 1(c1) in the main text. </w:t>
      </w:r>
    </w:p>
    <w:p w14:paraId="26A9C0F0" w14:textId="76D5B422" w:rsidR="00C33C56" w:rsidRDefault="00C33C56" w:rsidP="00C33C56">
      <w:pPr>
        <w:pStyle w:val="09BodyFirstParagraph"/>
        <w:ind w:firstLineChars="200" w:firstLine="400"/>
      </w:pPr>
      <w:r>
        <w:t xml:space="preserve">We note that </w:t>
      </w:r>
      <w:r w:rsidRPr="00C33C56">
        <w:t xml:space="preserve">there is an air gap of ~200 nm between the two facets of </w:t>
      </w:r>
      <w:r w:rsidR="00F03760">
        <w:t>fibre</w:t>
      </w:r>
      <w:r w:rsidRPr="00C33C56">
        <w:t xml:space="preserve"> cores to be connected.</w:t>
      </w:r>
      <w:r>
        <w:t xml:space="preserve"> </w:t>
      </w:r>
      <w:r w:rsidRPr="00C33C56">
        <w:t xml:space="preserve">The thicknesses of the metasurfaces fabricated on the </w:t>
      </w:r>
      <w:r w:rsidR="00F03760">
        <w:t>fibre</w:t>
      </w:r>
      <w:r w:rsidRPr="00C33C56">
        <w:t xml:space="preserve"> cores by using our EBL and FIB technologies were no more than 60 nm. Therefore, there is no physical contact between the metasurfaces and the </w:t>
      </w:r>
      <w:r w:rsidR="00F03760">
        <w:t>fibre</w:t>
      </w:r>
      <w:r w:rsidRPr="00C33C56">
        <w:t xml:space="preserve"> core on the other side, avoiding possible contaminations or damages during the plug-in and plug-out procedures. Figs. S2 show the SEM images of the metasurfaces fabricated on the endface of a single-mode </w:t>
      </w:r>
      <w:r w:rsidR="00F03760">
        <w:t>fibre</w:t>
      </w:r>
      <w:r w:rsidRPr="00C33C56">
        <w:t xml:space="preserve"> jumper before and after the lifetime test (50 times of plug-in and plug-out). As can be seen, no observable contaminations could be found from the metasurface region.</w:t>
      </w:r>
    </w:p>
    <w:p w14:paraId="66C3C664" w14:textId="5E502366" w:rsidR="00C33C56" w:rsidRDefault="00C33C56" w:rsidP="00C33C56">
      <w:pPr>
        <w:pStyle w:val="10BodySubsequentParagraph"/>
        <w:spacing w:beforeLines="100" w:before="240"/>
        <w:ind w:firstLine="0"/>
        <w:jc w:val="center"/>
      </w:pPr>
      <w:r>
        <w:rPr>
          <w:noProof/>
        </w:rPr>
        <w:drawing>
          <wp:inline distT="0" distB="0" distL="0" distR="0" wp14:anchorId="5DED4411" wp14:editId="02AD3554">
            <wp:extent cx="4740978" cy="165100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81786" cy="1665211"/>
                    </a:xfrm>
                    <a:prstGeom prst="rect">
                      <a:avLst/>
                    </a:prstGeom>
                    <a:noFill/>
                    <a:ln>
                      <a:noFill/>
                    </a:ln>
                  </pic:spPr>
                </pic:pic>
              </a:graphicData>
            </a:graphic>
          </wp:inline>
        </w:drawing>
      </w:r>
    </w:p>
    <w:p w14:paraId="436AF23F" w14:textId="7D49E40E" w:rsidR="00C33C56" w:rsidRPr="00F12DA4" w:rsidRDefault="00C33C56" w:rsidP="00C33C56">
      <w:pPr>
        <w:pStyle w:val="12FigureCaptionShort"/>
        <w:jc w:val="both"/>
        <w:rPr>
          <w:rFonts w:ascii="Arial" w:hAnsi="Arial" w:cs="Arial"/>
          <w:sz w:val="20"/>
          <w:szCs w:val="28"/>
        </w:rPr>
      </w:pPr>
      <w:r w:rsidRPr="00F12DA4">
        <w:rPr>
          <w:rFonts w:ascii="Arial" w:hAnsi="Arial" w:cs="Arial"/>
        </w:rPr>
        <w:t xml:space="preserve">Fig. S2. SEM images of the metasurfaces fabricated on the endface of single-mode </w:t>
      </w:r>
      <w:r w:rsidR="00F03760">
        <w:rPr>
          <w:rFonts w:ascii="Arial" w:hAnsi="Arial" w:cs="Arial"/>
        </w:rPr>
        <w:t>fibre</w:t>
      </w:r>
      <w:r w:rsidRPr="00F12DA4">
        <w:rPr>
          <w:rFonts w:ascii="Arial" w:hAnsi="Arial" w:cs="Arial"/>
        </w:rPr>
        <w:t xml:space="preserve"> jumper before (a) and after (b) 50 times of plug-in and plug-out operations. The dashed pink circles indicate the core boundaries.</w:t>
      </w:r>
      <w:r w:rsidRPr="00F12DA4">
        <w:rPr>
          <w:rFonts w:ascii="Arial" w:hAnsi="Arial" w:cs="Arial"/>
          <w:sz w:val="20"/>
          <w:szCs w:val="28"/>
        </w:rPr>
        <w:cr/>
      </w:r>
    </w:p>
    <w:p w14:paraId="63A3E32B" w14:textId="77777777" w:rsidR="000554E2" w:rsidRDefault="000554E2" w:rsidP="00CD3D08">
      <w:pPr>
        <w:pStyle w:val="08SectionHeader10"/>
      </w:pPr>
      <w:bookmarkStart w:id="2" w:name="_Toc92435869"/>
    </w:p>
    <w:p w14:paraId="65AF38BA" w14:textId="77777777" w:rsidR="000554E2" w:rsidRDefault="000554E2" w:rsidP="00CD3D08">
      <w:pPr>
        <w:pStyle w:val="08SectionHeader10"/>
      </w:pPr>
    </w:p>
    <w:p w14:paraId="02119ABF" w14:textId="77777777" w:rsidR="000554E2" w:rsidRDefault="000554E2" w:rsidP="00CD3D08">
      <w:pPr>
        <w:pStyle w:val="08SectionHeader10"/>
      </w:pPr>
    </w:p>
    <w:p w14:paraId="21E04CF1" w14:textId="77777777" w:rsidR="000554E2" w:rsidRDefault="000554E2" w:rsidP="00CD3D08">
      <w:pPr>
        <w:pStyle w:val="08SectionHeader10"/>
      </w:pPr>
    </w:p>
    <w:p w14:paraId="22B9582E" w14:textId="77777777" w:rsidR="000554E2" w:rsidRDefault="000554E2" w:rsidP="00CD3D08">
      <w:pPr>
        <w:pStyle w:val="08SectionHeader10"/>
      </w:pPr>
    </w:p>
    <w:p w14:paraId="63834660" w14:textId="3B789821" w:rsidR="00474C0F" w:rsidRPr="00CD3D08" w:rsidRDefault="00474C0F" w:rsidP="00CD3D08">
      <w:pPr>
        <w:pStyle w:val="08SectionHeader10"/>
      </w:pPr>
      <w:r w:rsidRPr="00CD3D08">
        <w:lastRenderedPageBreak/>
        <w:t>3. Linear optical response calculations</w:t>
      </w:r>
      <w:bookmarkEnd w:id="2"/>
    </w:p>
    <w:p w14:paraId="3E2FC4A4" w14:textId="77777777" w:rsidR="00474C0F" w:rsidRDefault="00474C0F" w:rsidP="00CD3D08">
      <w:pPr>
        <w:spacing w:before="120" w:after="0"/>
        <w:jc w:val="center"/>
        <w:rPr>
          <w:rFonts w:ascii="Times New Roman" w:hAnsi="Times New Roman"/>
          <w:sz w:val="20"/>
        </w:rPr>
      </w:pPr>
      <w:r>
        <w:rPr>
          <w:rFonts w:ascii="Times New Roman" w:hAnsi="Times New Roman"/>
          <w:noProof/>
          <w:sz w:val="20"/>
        </w:rPr>
        <w:drawing>
          <wp:inline distT="0" distB="0" distL="0" distR="0" wp14:anchorId="48185FEC" wp14:editId="6172940C">
            <wp:extent cx="2345871" cy="1632828"/>
            <wp:effectExtent l="0" t="0" r="0" b="5715"/>
            <wp:docPr id="8" name="图片 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示&#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0542" cy="1643040"/>
                    </a:xfrm>
                    <a:prstGeom prst="rect">
                      <a:avLst/>
                    </a:prstGeom>
                    <a:noFill/>
                    <a:ln>
                      <a:noFill/>
                    </a:ln>
                  </pic:spPr>
                </pic:pic>
              </a:graphicData>
            </a:graphic>
          </wp:inline>
        </w:drawing>
      </w:r>
    </w:p>
    <w:p w14:paraId="49979368" w14:textId="348E0E0C" w:rsidR="00474C0F" w:rsidRPr="00A32E35" w:rsidRDefault="00474C0F" w:rsidP="00F93D5F">
      <w:pPr>
        <w:pStyle w:val="12FigureCaptionShort"/>
        <w:jc w:val="both"/>
        <w:rPr>
          <w:rFonts w:ascii="Arial" w:hAnsi="Arial" w:cs="Arial"/>
        </w:rPr>
      </w:pPr>
      <w:r w:rsidRPr="00A32E35">
        <w:rPr>
          <w:rFonts w:ascii="Arial" w:hAnsi="Arial" w:cs="Arial"/>
        </w:rPr>
        <w:t>Fig</w:t>
      </w:r>
      <w:r w:rsidR="00CD3D08" w:rsidRPr="00A32E35">
        <w:rPr>
          <w:rFonts w:ascii="Arial" w:hAnsi="Arial" w:cs="Arial" w:hint="eastAsia"/>
        </w:rPr>
        <w:t>.</w:t>
      </w:r>
      <w:r w:rsidRPr="00A32E35">
        <w:rPr>
          <w:rFonts w:ascii="Arial" w:hAnsi="Arial" w:cs="Arial"/>
        </w:rPr>
        <w:t xml:space="preserve"> S</w:t>
      </w:r>
      <w:r w:rsidR="00C33C56" w:rsidRPr="00A32E35">
        <w:rPr>
          <w:rFonts w:ascii="Arial" w:hAnsi="Arial" w:cs="Arial"/>
        </w:rPr>
        <w:t>3</w:t>
      </w:r>
      <w:r w:rsidRPr="00A32E35">
        <w:rPr>
          <w:rFonts w:ascii="Arial" w:hAnsi="Arial" w:cs="Arial"/>
        </w:rPr>
        <w:t xml:space="preserve">. Optical model of a metasurface unit cell excited with a linearly polarized light. </w:t>
      </w:r>
      <w:r w:rsidRPr="00C91E6C">
        <w:rPr>
          <w:rFonts w:ascii="Arial" w:hAnsi="Arial" w:cs="Arial"/>
          <w:i/>
          <w:iCs/>
        </w:rPr>
        <w:t>P</w:t>
      </w:r>
      <w:r w:rsidRPr="00C91E6C">
        <w:rPr>
          <w:rFonts w:ascii="Arial" w:hAnsi="Arial" w:cs="Arial"/>
          <w:i/>
          <w:iCs/>
          <w:vertAlign w:val="subscript"/>
        </w:rPr>
        <w:t>x</w:t>
      </w:r>
      <w:r w:rsidRPr="00A32E35">
        <w:rPr>
          <w:rFonts w:ascii="Arial" w:hAnsi="Arial" w:cs="Arial"/>
        </w:rPr>
        <w:t xml:space="preserve"> and </w:t>
      </w:r>
      <w:r w:rsidRPr="00C91E6C">
        <w:rPr>
          <w:rFonts w:ascii="Arial" w:hAnsi="Arial" w:cs="Arial"/>
          <w:i/>
          <w:iCs/>
        </w:rPr>
        <w:t>P</w:t>
      </w:r>
      <w:r w:rsidRPr="00C91E6C">
        <w:rPr>
          <w:rFonts w:ascii="Arial" w:hAnsi="Arial" w:cs="Arial"/>
          <w:i/>
          <w:iCs/>
          <w:vertAlign w:val="subscript"/>
        </w:rPr>
        <w:t>y</w:t>
      </w:r>
      <w:r w:rsidRPr="00A32E35">
        <w:rPr>
          <w:rFonts w:ascii="Arial" w:hAnsi="Arial" w:cs="Arial"/>
        </w:rPr>
        <w:t xml:space="preserve"> denote the transverse and longitudinal periods of the nanorod fabricated on the </w:t>
      </w:r>
      <w:r w:rsidR="00F03760">
        <w:rPr>
          <w:rFonts w:ascii="Arial" w:hAnsi="Arial" w:cs="Arial"/>
        </w:rPr>
        <w:t>fibre</w:t>
      </w:r>
      <w:r w:rsidRPr="00A32E35">
        <w:rPr>
          <w:rFonts w:ascii="Arial" w:hAnsi="Arial" w:cs="Arial"/>
        </w:rPr>
        <w:t xml:space="preserve"> tip. </w:t>
      </w:r>
      <w:r w:rsidRPr="00C91E6C">
        <w:rPr>
          <w:rFonts w:ascii="Arial" w:hAnsi="Arial" w:cs="Arial"/>
          <w:i/>
          <w:iCs/>
        </w:rPr>
        <w:t>T</w:t>
      </w:r>
      <w:r w:rsidRPr="00C91E6C">
        <w:rPr>
          <w:rFonts w:ascii="Arial" w:hAnsi="Arial" w:cs="Arial"/>
          <w:i/>
          <w:iCs/>
          <w:vertAlign w:val="subscript"/>
        </w:rPr>
        <w:t>Au</w:t>
      </w:r>
      <w:r w:rsidRPr="00A32E35">
        <w:rPr>
          <w:rFonts w:ascii="Arial" w:hAnsi="Arial" w:cs="Arial"/>
        </w:rPr>
        <w:t xml:space="preserve"> and </w:t>
      </w:r>
      <w:r w:rsidRPr="00C91E6C">
        <w:rPr>
          <w:rFonts w:ascii="Arial" w:hAnsi="Arial" w:cs="Arial"/>
          <w:i/>
          <w:iCs/>
        </w:rPr>
        <w:t>T</w:t>
      </w:r>
      <w:r w:rsidRPr="00C91E6C">
        <w:rPr>
          <w:rFonts w:ascii="Arial" w:hAnsi="Arial" w:cs="Arial"/>
          <w:i/>
          <w:iCs/>
          <w:vertAlign w:val="subscript"/>
        </w:rPr>
        <w:t>Cr</w:t>
      </w:r>
      <w:r w:rsidRPr="00A32E35">
        <w:rPr>
          <w:rFonts w:ascii="Arial" w:hAnsi="Arial" w:cs="Arial"/>
        </w:rPr>
        <w:t xml:space="preserve"> represent the thickness of gold and chromium, respectively. W and L denote respectively the width and length of the nanorod. </w:t>
      </w:r>
      <w:r w:rsidRPr="009C7256">
        <w:rPr>
          <w:rFonts w:ascii="Arial" w:hAnsi="Arial" w:cs="Arial"/>
          <w:i/>
          <w:iCs/>
        </w:rPr>
        <w:t xml:space="preserve">k </w:t>
      </w:r>
      <w:r w:rsidRPr="00A32E35">
        <w:rPr>
          <w:rFonts w:ascii="Arial" w:hAnsi="Arial" w:cs="Arial"/>
        </w:rPr>
        <w:t xml:space="preserve">and </w:t>
      </w:r>
      <w:r w:rsidRPr="009C7256">
        <w:rPr>
          <w:rFonts w:ascii="Arial" w:hAnsi="Arial" w:cs="Arial"/>
          <w:i/>
          <w:iCs/>
        </w:rPr>
        <w:t>E</w:t>
      </w:r>
      <w:r w:rsidRPr="00A32E35">
        <w:rPr>
          <w:rFonts w:ascii="Arial" w:hAnsi="Arial" w:cs="Arial"/>
        </w:rPr>
        <w:t xml:space="preserve"> represent the propagating direction of the plane wave and the polarization, respectively.</w:t>
      </w:r>
    </w:p>
    <w:p w14:paraId="56FECFBA" w14:textId="34A5824C" w:rsidR="00474C0F" w:rsidRPr="00D46550" w:rsidRDefault="00474C0F" w:rsidP="00CD3D08">
      <w:pPr>
        <w:pStyle w:val="09BodyFirstParagraph"/>
      </w:pPr>
      <w:r>
        <w:rPr>
          <w:rFonts w:hint="eastAsia"/>
        </w:rPr>
        <w:t>I</w:t>
      </w:r>
      <w:r>
        <w:t xml:space="preserve">n order to calculate the linear optical responses (transmission, reflection, absorption, extinction and the fundamental electromagnetic field distributions), we use the </w:t>
      </w:r>
      <w:r w:rsidRPr="006507B7">
        <w:t>finite-difference time-domain (FDTD)</w:t>
      </w:r>
      <w:r w:rsidRPr="001A690C">
        <w:t xml:space="preserve"> </w:t>
      </w:r>
      <w:r w:rsidRPr="006507B7">
        <w:t>method</w:t>
      </w:r>
      <w:r>
        <w:t xml:space="preserve"> to model the plasmonic metasurfaces.</w:t>
      </w:r>
      <w:r w:rsidRPr="001B75EE">
        <w:t xml:space="preserve"> In </w:t>
      </w:r>
      <w:r>
        <w:t>such model</w:t>
      </w:r>
      <w:r w:rsidRPr="001B75EE">
        <w:t xml:space="preserve">, as shown in </w:t>
      </w:r>
      <w:r w:rsidRPr="00450C75">
        <w:t>Fig. S</w:t>
      </w:r>
      <w:r w:rsidR="00C33C56">
        <w:t>3</w:t>
      </w:r>
      <w:r w:rsidRPr="001B75EE">
        <w:t xml:space="preserve">, the </w:t>
      </w:r>
      <w:r>
        <w:t>Au nanorod</w:t>
      </w:r>
      <w:r w:rsidRPr="001B75EE">
        <w:t xml:space="preserve"> </w:t>
      </w:r>
      <w:r>
        <w:t>and Cr adhesion layer are</w:t>
      </w:r>
      <w:r w:rsidRPr="001B75EE">
        <w:t xml:space="preserve"> located on a </w:t>
      </w:r>
      <w:r>
        <w:t xml:space="preserve">glass </w:t>
      </w:r>
      <w:r w:rsidRPr="001B75EE">
        <w:t>substrate</w:t>
      </w:r>
      <w:r>
        <w:t xml:space="preserve">. The </w:t>
      </w:r>
      <w:r w:rsidRPr="001B75EE">
        <w:t>refrac</w:t>
      </w:r>
      <w:r>
        <w:t>tion</w:t>
      </w:r>
      <w:r w:rsidRPr="001B75EE">
        <w:t xml:space="preserve"> index </w:t>
      </w:r>
      <w:r>
        <w:t xml:space="preserve">of Au, Cr </w:t>
      </w:r>
      <w:r>
        <w:rPr>
          <w:rFonts w:hint="eastAsia"/>
        </w:rPr>
        <w:t>and</w:t>
      </w:r>
      <w:r>
        <w:t xml:space="preserve"> glass are obtained from the material library</w:t>
      </w:r>
      <w:r w:rsidR="00E976D1">
        <w:t xml:space="preserve"> </w:t>
      </w:r>
      <w:r w:rsidR="0046600E">
        <w:fldChar w:fldCharType="begin"/>
      </w:r>
      <w:r w:rsidR="005C77FE">
        <w:instrText xml:space="preserve"> ADDIN EN.CITE &lt;EndNote&gt;&lt;Cite ExcludeAuth="1" ExcludeYear="1"&gt;&lt;RecNum&gt;254&lt;/RecNum&gt;&lt;DisplayText&gt;&lt;style face="superscript"&gt;1&lt;/style&gt;&lt;/DisplayText&gt;&lt;record&gt;&lt;rec-number&gt;254&lt;/rec-number&gt;&lt;foreign-keys&gt;&lt;key app="EN" db-id="dezfexv915dafwesxe75rp2f99trfvtsxdw5" timestamp="1646132960" guid="ec84ae5e-fbf7-41eb-8833-80f288a7929b"&gt;254&lt;/key&gt;&lt;/foreign-keys&gt;&lt;ref-type name="Journal Article"&gt;17&lt;/ref-type&gt;&lt;contributors&gt;&lt;/contributors&gt;&lt;titles&gt;&lt;title&gt;&amp;lt;1-book.pdf&amp;gt;&lt;/title&gt;&lt;/titles&gt;&lt;dates&gt;&lt;/dates&gt;&lt;urls&gt;&lt;/urls&gt;&lt;/record&gt;&lt;/Cite&gt;&lt;/EndNote&gt;</w:instrText>
      </w:r>
      <w:r w:rsidR="0046600E">
        <w:fldChar w:fldCharType="separate"/>
      </w:r>
      <w:r w:rsidR="005C77FE" w:rsidRPr="005C77FE">
        <w:rPr>
          <w:noProof/>
          <w:vertAlign w:val="superscript"/>
        </w:rPr>
        <w:t>1</w:t>
      </w:r>
      <w:r w:rsidR="0046600E">
        <w:fldChar w:fldCharType="end"/>
      </w:r>
      <w:r>
        <w:t>.</w:t>
      </w:r>
      <w:r w:rsidRPr="001B75EE">
        <w:t xml:space="preserve"> </w:t>
      </w:r>
      <w:r>
        <w:t xml:space="preserve">The nanorod is </w:t>
      </w:r>
      <w:r w:rsidRPr="001B75EE">
        <w:t xml:space="preserve">excited by a </w:t>
      </w:r>
      <w:r>
        <w:t xml:space="preserve">linearly </w:t>
      </w:r>
      <w:r w:rsidRPr="001B75EE">
        <w:t>polarized plane wave coming from the air side</w:t>
      </w:r>
      <w:r>
        <w:t xml:space="preserve"> (</w:t>
      </w:r>
      <w:r w:rsidRPr="00F73C4E">
        <w:rPr>
          <w:i/>
          <w:iCs/>
        </w:rPr>
        <w:t>n</w:t>
      </w:r>
      <w:r w:rsidRPr="00F73C4E">
        <w:rPr>
          <w:i/>
          <w:iCs/>
          <w:vertAlign w:val="subscript"/>
        </w:rPr>
        <w:t>air</w:t>
      </w:r>
      <w:r w:rsidR="004E07A0">
        <w:rPr>
          <w:i/>
          <w:iCs/>
          <w:vertAlign w:val="subscript"/>
        </w:rPr>
        <w:t xml:space="preserve"> </w:t>
      </w:r>
      <w:r>
        <w:t>=</w:t>
      </w:r>
      <w:r w:rsidR="004E07A0">
        <w:t xml:space="preserve"> </w:t>
      </w:r>
      <w:r w:rsidRPr="001B75EE">
        <w:t>1) of the interface. The</w:t>
      </w:r>
      <w:r w:rsidRPr="00CD3D08">
        <w:t xml:space="preserve"> </w:t>
      </w:r>
      <w:r w:rsidRPr="00CD53BE">
        <w:rPr>
          <w:i/>
          <w:iCs/>
        </w:rPr>
        <w:t>k</w:t>
      </w:r>
      <w:r>
        <w:t xml:space="preserve"> vector of the </w:t>
      </w:r>
      <w:r w:rsidRPr="001B75EE">
        <w:t>incide</w:t>
      </w:r>
      <w:r>
        <w:t>nt light is normal to the substrate plane and the polarization is parallel to the long axis of nanorod</w:t>
      </w:r>
      <w:r>
        <w:rPr>
          <w:rFonts w:hint="eastAsia"/>
        </w:rPr>
        <w:t>.</w:t>
      </w:r>
      <w:r>
        <w:t xml:space="preserve"> T</w:t>
      </w:r>
      <w:r w:rsidRPr="001B75EE">
        <w:t>he periodic conditions in both x and y directions are</w:t>
      </w:r>
      <w:r>
        <w:t xml:space="preserve"> taken into account (Fig. 2(a) and Fig. 5(a) in the main text)</w:t>
      </w:r>
      <w:r w:rsidRPr="001B75EE">
        <w:t>.</w:t>
      </w:r>
      <w:r>
        <w:t xml:space="preserve"> The fundamental electric fields in each excitation wavelength (insets of Fig. 2(b) and Fig. 5(b) in the main text) are obtained simultaneously in the calculation process for each dimension of nanorod array. </w:t>
      </w:r>
    </w:p>
    <w:p w14:paraId="0873EF56" w14:textId="77777777" w:rsidR="00474C0F" w:rsidRPr="00CD3D08" w:rsidRDefault="00474C0F" w:rsidP="00CD3D08">
      <w:pPr>
        <w:pStyle w:val="08SectionHeader10"/>
      </w:pPr>
      <w:bookmarkStart w:id="3" w:name="_Toc92435870"/>
      <w:r w:rsidRPr="00CD3D08">
        <w:t>4. Optical setups for measuring the extinction spectra</w:t>
      </w:r>
      <w:bookmarkEnd w:id="3"/>
    </w:p>
    <w:p w14:paraId="62B164C5" w14:textId="77777777" w:rsidR="00474C0F" w:rsidRDefault="00474C0F" w:rsidP="00CD3D08">
      <w:pPr>
        <w:spacing w:before="120" w:after="0"/>
        <w:jc w:val="center"/>
        <w:rPr>
          <w:rFonts w:ascii="Times New Roman" w:hAnsi="Times New Roman"/>
          <w:sz w:val="20"/>
        </w:rPr>
      </w:pPr>
      <w:r>
        <w:rPr>
          <w:rFonts w:ascii="Times New Roman" w:hAnsi="Times New Roman"/>
          <w:noProof/>
          <w:sz w:val="20"/>
        </w:rPr>
        <w:drawing>
          <wp:inline distT="0" distB="0" distL="0" distR="0" wp14:anchorId="1ECB82EE" wp14:editId="006AA068">
            <wp:extent cx="4059301" cy="2087808"/>
            <wp:effectExtent l="0" t="0" r="0" b="8255"/>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68140" cy="2092354"/>
                    </a:xfrm>
                    <a:prstGeom prst="rect">
                      <a:avLst/>
                    </a:prstGeom>
                  </pic:spPr>
                </pic:pic>
              </a:graphicData>
            </a:graphic>
          </wp:inline>
        </w:drawing>
      </w:r>
    </w:p>
    <w:p w14:paraId="4A73D20D" w14:textId="24426A9E" w:rsidR="00474C0F" w:rsidRPr="00A32E35" w:rsidRDefault="00474C0F" w:rsidP="00DF59C2">
      <w:pPr>
        <w:pStyle w:val="12FigureCaptionShort"/>
        <w:jc w:val="both"/>
        <w:rPr>
          <w:rFonts w:ascii="Arial" w:hAnsi="Arial" w:cs="Arial"/>
        </w:rPr>
      </w:pPr>
      <w:r w:rsidRPr="00A32E35">
        <w:rPr>
          <w:rFonts w:ascii="Arial" w:hAnsi="Arial" w:cs="Arial"/>
        </w:rPr>
        <w:t>Fig</w:t>
      </w:r>
      <w:r w:rsidR="00CD3D08" w:rsidRPr="00A32E35">
        <w:rPr>
          <w:rFonts w:ascii="Arial" w:hAnsi="Arial" w:cs="Arial"/>
        </w:rPr>
        <w:t>.</w:t>
      </w:r>
      <w:r w:rsidRPr="00A32E35">
        <w:rPr>
          <w:rFonts w:ascii="Arial" w:hAnsi="Arial" w:cs="Arial"/>
        </w:rPr>
        <w:t xml:space="preserve"> S</w:t>
      </w:r>
      <w:r w:rsidR="00C33C56" w:rsidRPr="00A32E35">
        <w:rPr>
          <w:rFonts w:ascii="Arial" w:hAnsi="Arial" w:cs="Arial"/>
        </w:rPr>
        <w:t>4</w:t>
      </w:r>
      <w:r w:rsidRPr="00A32E35">
        <w:rPr>
          <w:rFonts w:ascii="Arial" w:hAnsi="Arial" w:cs="Arial"/>
        </w:rPr>
        <w:t xml:space="preserve">. The optical setups for measuring the polarimetric extinction spectra of a </w:t>
      </w:r>
      <w:r w:rsidR="00F03760">
        <w:rPr>
          <w:rFonts w:ascii="Arial" w:hAnsi="Arial" w:cs="Arial"/>
        </w:rPr>
        <w:t>metafiber</w:t>
      </w:r>
      <w:r w:rsidRPr="00A32E35">
        <w:rPr>
          <w:rFonts w:ascii="Arial" w:hAnsi="Arial" w:cs="Arial"/>
        </w:rPr>
        <w:t>. SLS is supercontinuum light source, NDF is neutral density filter, NF is notch filter, PL is polarizer, HWP is half wavelength plate, O1,</w:t>
      </w:r>
      <w:r w:rsidRPr="00A32E35" w:rsidDel="00DD33F3">
        <w:rPr>
          <w:rFonts w:ascii="Arial" w:hAnsi="Arial" w:cs="Arial"/>
        </w:rPr>
        <w:t xml:space="preserve"> </w:t>
      </w:r>
      <w:r w:rsidRPr="00A32E35">
        <w:rPr>
          <w:rFonts w:ascii="Arial" w:hAnsi="Arial" w:cs="Arial"/>
        </w:rPr>
        <w:t xml:space="preserve">2 are objective lens, FC is </w:t>
      </w:r>
      <w:r w:rsidR="00F03760">
        <w:rPr>
          <w:rFonts w:ascii="Arial" w:hAnsi="Arial" w:cs="Arial"/>
        </w:rPr>
        <w:t>fibre</w:t>
      </w:r>
      <w:r w:rsidRPr="00A32E35">
        <w:rPr>
          <w:rFonts w:ascii="Arial" w:hAnsi="Arial" w:cs="Arial"/>
        </w:rPr>
        <w:t xml:space="preserve">-optic collimator, SMF is single-mode </w:t>
      </w:r>
      <w:r w:rsidR="00F03760">
        <w:rPr>
          <w:rFonts w:ascii="Arial" w:hAnsi="Arial" w:cs="Arial"/>
        </w:rPr>
        <w:t>fibre</w:t>
      </w:r>
      <w:r w:rsidRPr="00A32E35">
        <w:rPr>
          <w:rFonts w:ascii="Arial" w:hAnsi="Arial" w:cs="Arial"/>
        </w:rPr>
        <w:t xml:space="preserve"> and OSA is optical spectrum analyzer.</w:t>
      </w:r>
    </w:p>
    <w:p w14:paraId="584E198F" w14:textId="7BEE7082" w:rsidR="00474C0F" w:rsidRPr="00CD3D08" w:rsidRDefault="007252A5" w:rsidP="00CD3D08">
      <w:pPr>
        <w:pStyle w:val="09BodyFirstParagraph"/>
      </w:pPr>
      <w:r>
        <w:t xml:space="preserve">As </w:t>
      </w:r>
      <w:r>
        <w:rPr>
          <w:rFonts w:hint="eastAsia"/>
          <w:lang w:eastAsia="zh-CN"/>
        </w:rPr>
        <w:t>sh</w:t>
      </w:r>
      <w:r>
        <w:t>own in Fig. S4, a</w:t>
      </w:r>
      <w:r w:rsidR="00474C0F" w:rsidRPr="00666CC4">
        <w:t xml:space="preserve"> supercontinuum light source (SLS</w:t>
      </w:r>
      <w:r w:rsidR="00474C0F">
        <w:t>, NKT photonics</w:t>
      </w:r>
      <w:r w:rsidR="00474C0F" w:rsidRPr="00666CC4">
        <w:t xml:space="preserve">) emitting in the </w:t>
      </w:r>
      <w:r w:rsidR="00474C0F">
        <w:t>1</w:t>
      </w:r>
      <w:r w:rsidR="00474C0F" w:rsidRPr="00666CC4">
        <w:t>–</w:t>
      </w:r>
      <w:r w:rsidR="00474C0F">
        <w:t>1.8</w:t>
      </w:r>
      <w:r w:rsidR="00474C0F" w:rsidRPr="00666CC4">
        <w:t xml:space="preserve"> µm spectral range is firstly filtered via a </w:t>
      </w:r>
      <w:r w:rsidR="00474C0F">
        <w:t>neutral density</w:t>
      </w:r>
      <w:r w:rsidR="00474C0F" w:rsidRPr="00666CC4">
        <w:t xml:space="preserve"> filter (</w:t>
      </w:r>
      <w:r w:rsidR="00474C0F">
        <w:t>NDF</w:t>
      </w:r>
      <w:r w:rsidR="00474C0F" w:rsidRPr="00666CC4">
        <w:t>) and a notch filter (</w:t>
      </w:r>
      <w:r w:rsidR="00474C0F">
        <w:t xml:space="preserve">NF, </w:t>
      </w:r>
      <w:r w:rsidR="00474C0F" w:rsidRPr="00666CC4">
        <w:lastRenderedPageBreak/>
        <w:t xml:space="preserve">central wavelength: 1064 nm, band width: 44 nm) to prevent the </w:t>
      </w:r>
      <w:r w:rsidR="00F03760">
        <w:t>metafiber</w:t>
      </w:r>
      <w:r w:rsidR="00474C0F" w:rsidRPr="00666CC4">
        <w:t xml:space="preserve"> from potential thermal damages </w:t>
      </w:r>
      <w:r w:rsidR="00474C0F">
        <w:t>induced by</w:t>
      </w:r>
      <w:r w:rsidR="00474C0F" w:rsidRPr="00666CC4">
        <w:t xml:space="preserve"> the pumping laser</w:t>
      </w:r>
      <w:r w:rsidR="00474C0F">
        <w:t xml:space="preserve"> </w:t>
      </w:r>
      <w:r w:rsidR="00474C0F" w:rsidRPr="00666CC4">
        <w:t xml:space="preserve">(1064 nm). A polarizer (PL) and a half-waveplate (HWP) control the polarization axis of the incident </w:t>
      </w:r>
      <w:r w:rsidR="00474C0F">
        <w:t>light</w:t>
      </w:r>
      <w:r w:rsidR="00474C0F" w:rsidRPr="00666CC4">
        <w:t xml:space="preserve">, and </w:t>
      </w:r>
      <w:r w:rsidR="00474C0F">
        <w:t>two</w:t>
      </w:r>
      <w:r w:rsidR="00474C0F" w:rsidRPr="00666CC4">
        <w:t xml:space="preserve"> </w:t>
      </w:r>
      <w:r w:rsidR="00474C0F">
        <w:t xml:space="preserve">confocal </w:t>
      </w:r>
      <w:r w:rsidR="00474C0F" w:rsidRPr="00666CC4">
        <w:t>objective lens (</w:t>
      </w:r>
      <w:r w:rsidR="00474C0F" w:rsidRPr="00DE1425">
        <w:t>O1:2.5/0.08; O2: 20/0.4</w:t>
      </w:r>
      <w:r w:rsidR="00474C0F" w:rsidRPr="00666CC4">
        <w:t xml:space="preserve">) </w:t>
      </w:r>
      <w:r w:rsidR="00474C0F">
        <w:t>changes</w:t>
      </w:r>
      <w:r w:rsidR="00474C0F" w:rsidRPr="00666CC4">
        <w:t xml:space="preserve"> the beam diameter to </w:t>
      </w:r>
      <w:r w:rsidR="00474C0F">
        <w:t>fit</w:t>
      </w:r>
      <w:r w:rsidR="00474C0F" w:rsidRPr="00666CC4">
        <w:t xml:space="preserve"> the</w:t>
      </w:r>
      <w:r w:rsidR="00474C0F">
        <w:t xml:space="preserve"> </w:t>
      </w:r>
      <w:r w:rsidR="00F03760">
        <w:t>fibre</w:t>
      </w:r>
      <w:r w:rsidR="00474C0F" w:rsidRPr="00666CC4">
        <w:t>-optic collimator (FC)</w:t>
      </w:r>
      <w:r w:rsidR="00474C0F">
        <w:t xml:space="preserve"> entrance</w:t>
      </w:r>
      <w:r w:rsidR="00474C0F" w:rsidRPr="00666CC4">
        <w:t xml:space="preserve">. Before coupling the incident light to the testing </w:t>
      </w:r>
      <w:r w:rsidR="00F03760">
        <w:t>fibre</w:t>
      </w:r>
      <w:r w:rsidR="00474C0F" w:rsidRPr="00666CC4">
        <w:t xml:space="preserve">s, it is necessary to introduce an intermediate </w:t>
      </w:r>
      <w:r w:rsidR="00474C0F">
        <w:rPr>
          <w:rFonts w:hint="eastAsia"/>
        </w:rPr>
        <w:t>single-mode</w:t>
      </w:r>
      <w:r w:rsidR="00474C0F" w:rsidRPr="00666CC4">
        <w:t xml:space="preserve"> </w:t>
      </w:r>
      <w:r w:rsidR="00F03760">
        <w:t>fibre</w:t>
      </w:r>
      <w:r w:rsidR="00474C0F" w:rsidRPr="00666CC4">
        <w:t xml:space="preserve"> (</w:t>
      </w:r>
      <w:r w:rsidR="00474C0F">
        <w:rPr>
          <w:rFonts w:hint="eastAsia"/>
        </w:rPr>
        <w:t>SMF</w:t>
      </w:r>
      <w:r w:rsidR="00474C0F" w:rsidRPr="00666CC4">
        <w:t xml:space="preserve">) to increase the mobility of the optical spectrum analyzer (OSA) and minimize the </w:t>
      </w:r>
      <w:r w:rsidR="00474C0F">
        <w:t xml:space="preserve">potential </w:t>
      </w:r>
      <w:r w:rsidR="00474C0F" w:rsidRPr="00666CC4">
        <w:t xml:space="preserve">misalignments of the optical path in the free space </w:t>
      </w:r>
      <w:r w:rsidR="00474C0F">
        <w:rPr>
          <w:rFonts w:hint="eastAsia"/>
        </w:rPr>
        <w:t>du</w:t>
      </w:r>
      <w:r w:rsidR="00474C0F">
        <w:t xml:space="preserve">ring </w:t>
      </w:r>
      <w:r w:rsidR="00474C0F" w:rsidRPr="00666CC4">
        <w:t>exchang</w:t>
      </w:r>
      <w:r w:rsidR="00474C0F">
        <w:t xml:space="preserve">ing the </w:t>
      </w:r>
      <w:r w:rsidR="00474C0F" w:rsidRPr="00666CC4">
        <w:t xml:space="preserve">testing </w:t>
      </w:r>
      <w:r w:rsidR="00F03760">
        <w:t>fibre</w:t>
      </w:r>
      <w:r w:rsidR="00474C0F" w:rsidRPr="00666CC4">
        <w:t>s.</w:t>
      </w:r>
      <w:r w:rsidR="00474C0F">
        <w:t xml:space="preserve"> The transmitted optical signals are sent to the OSA for spectrum analysis.</w:t>
      </w:r>
    </w:p>
    <w:p w14:paraId="47375ED0" w14:textId="77777777" w:rsidR="00474C0F" w:rsidRPr="00CD3D08" w:rsidRDefault="00474C0F" w:rsidP="00CD3D08">
      <w:pPr>
        <w:pStyle w:val="08SectionHeader10"/>
      </w:pPr>
      <w:bookmarkStart w:id="4" w:name="_Toc92435871"/>
      <w:r w:rsidRPr="00CD3D08">
        <w:t>5. Optical setups for measuring nonlinear optical transmissions</w:t>
      </w:r>
      <w:bookmarkEnd w:id="4"/>
    </w:p>
    <w:p w14:paraId="323D1F90" w14:textId="77777777" w:rsidR="00474C0F" w:rsidRDefault="00474C0F" w:rsidP="00CD3D08">
      <w:pPr>
        <w:spacing w:before="120" w:after="0"/>
        <w:jc w:val="center"/>
        <w:rPr>
          <w:rFonts w:ascii="Times New Roman" w:hAnsi="Times New Roman"/>
          <w:b/>
          <w:bCs/>
          <w:sz w:val="20"/>
        </w:rPr>
      </w:pPr>
      <w:r>
        <w:rPr>
          <w:rFonts w:ascii="Times New Roman" w:hAnsi="Times New Roman"/>
          <w:b/>
          <w:bCs/>
          <w:noProof/>
          <w:sz w:val="20"/>
        </w:rPr>
        <w:drawing>
          <wp:inline distT="0" distB="0" distL="0" distR="0" wp14:anchorId="15987540" wp14:editId="6F54ED2F">
            <wp:extent cx="4710604" cy="1477946"/>
            <wp:effectExtent l="0" t="0" r="0" b="8255"/>
            <wp:docPr id="3" name="图片 3" descr="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徽标&#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95450" cy="1504566"/>
                    </a:xfrm>
                    <a:prstGeom prst="rect">
                      <a:avLst/>
                    </a:prstGeom>
                  </pic:spPr>
                </pic:pic>
              </a:graphicData>
            </a:graphic>
          </wp:inline>
        </w:drawing>
      </w:r>
    </w:p>
    <w:p w14:paraId="6DF0B485" w14:textId="7B54EC5B" w:rsidR="00474C0F" w:rsidRPr="00A32E35" w:rsidRDefault="00474C0F" w:rsidP="00DF59C2">
      <w:pPr>
        <w:pStyle w:val="12FigureCaptionShort"/>
        <w:jc w:val="both"/>
        <w:rPr>
          <w:rFonts w:ascii="Arial" w:hAnsi="Arial" w:cs="Arial"/>
        </w:rPr>
      </w:pPr>
      <w:r w:rsidRPr="00A32E35">
        <w:rPr>
          <w:rFonts w:ascii="Arial" w:hAnsi="Arial" w:cs="Arial"/>
        </w:rPr>
        <w:t>Fig</w:t>
      </w:r>
      <w:r w:rsidR="00CD3D08" w:rsidRPr="00A32E35">
        <w:rPr>
          <w:rFonts w:ascii="Arial" w:hAnsi="Arial" w:cs="Arial"/>
        </w:rPr>
        <w:t>.</w:t>
      </w:r>
      <w:r w:rsidRPr="00A32E35">
        <w:rPr>
          <w:rFonts w:ascii="Arial" w:hAnsi="Arial" w:cs="Arial"/>
        </w:rPr>
        <w:t xml:space="preserve"> S</w:t>
      </w:r>
      <w:r w:rsidR="00C33C56" w:rsidRPr="00A32E35">
        <w:rPr>
          <w:rFonts w:ascii="Arial" w:hAnsi="Arial" w:cs="Arial"/>
        </w:rPr>
        <w:t>5</w:t>
      </w:r>
      <w:r w:rsidRPr="00A32E35">
        <w:rPr>
          <w:rFonts w:ascii="Arial" w:hAnsi="Arial" w:cs="Arial"/>
        </w:rPr>
        <w:t>. Optical setups for measuring the nonlinear transmission of a nanorod metasurface</w:t>
      </w:r>
      <w:r w:rsidRPr="00A32E35">
        <w:rPr>
          <w:rFonts w:ascii="Arial" w:hAnsi="Arial" w:cs="Arial" w:hint="eastAsia"/>
        </w:rPr>
        <w:t xml:space="preserve">. </w:t>
      </w:r>
      <w:r w:rsidRPr="00A32E35">
        <w:rPr>
          <w:rFonts w:ascii="Arial" w:hAnsi="Arial" w:cs="Arial"/>
        </w:rPr>
        <w:t>OPA is the optical parametric amplifier, NDF is neutral density filter, HWP is half-wavelength plate and OPM is optical power meter.</w:t>
      </w:r>
    </w:p>
    <w:p w14:paraId="464A5105" w14:textId="77777777" w:rsidR="00474C0F" w:rsidRDefault="00474C0F" w:rsidP="000013B7">
      <w:pPr>
        <w:pStyle w:val="09BodyFirstParagraph"/>
      </w:pPr>
      <w:r>
        <w:rPr>
          <w:rFonts w:hint="eastAsia"/>
        </w:rPr>
        <w:t>F</w:t>
      </w:r>
      <w:r>
        <w:t xml:space="preserve">emtosecond laser pulses (pulse duration 130 fs) with a central wavelength of 1030 nm is firstly converted to other wavelengths via an optical parametric amplifier (OPA, </w:t>
      </w:r>
      <w:r w:rsidRPr="001C62EC">
        <w:rPr>
          <w:rFonts w:hint="eastAsia"/>
        </w:rPr>
        <w:t>Twin Starzz</w:t>
      </w:r>
      <w:r>
        <w:rPr>
          <w:rFonts w:hint="eastAsia"/>
        </w:rPr>
        <w:t>,</w:t>
      </w:r>
      <w:r>
        <w:t xml:space="preserve"> </w:t>
      </w:r>
      <w:r w:rsidRPr="001C62EC">
        <w:rPr>
          <w:rFonts w:hint="eastAsia"/>
        </w:rPr>
        <w:t>Fastlite</w:t>
      </w:r>
      <w:r>
        <w:t xml:space="preserve">). A </w:t>
      </w:r>
      <w:bookmarkStart w:id="5" w:name="_Hlk85698287"/>
      <w:r>
        <w:t>neutral</w:t>
      </w:r>
      <w:bookmarkEnd w:id="5"/>
      <w:r>
        <w:t xml:space="preserve"> density filter (NDF) is used to tune the single pulse energy and thus control the averaged power of incident light. The polarization is linear and can be further tuned by using a </w:t>
      </w:r>
      <w:r w:rsidRPr="00517963">
        <w:t>half-wavelength plate (</w:t>
      </w:r>
      <w:r>
        <w:t xml:space="preserve">HWP, </w:t>
      </w:r>
      <w:r w:rsidRPr="00517963">
        <w:t xml:space="preserve">1100 nm-2000 nm, FBR-AH3c, Thorlabs). </w:t>
      </w:r>
      <w:r w:rsidRPr="004103CA">
        <w:t>The polarization angle 0° on the sample is firstly judged by aligning the polarization with a marker which is parallel to the nanorod long axis</w:t>
      </w:r>
      <w:r>
        <w:t>,</w:t>
      </w:r>
      <w:r w:rsidRPr="004103CA">
        <w:t xml:space="preserve"> and is fine-tuned by observing the minimum transmission levels after rotating the HWP 360°. </w:t>
      </w:r>
      <w:r w:rsidRPr="00517963">
        <w:t>A lens (</w:t>
      </w:r>
      <w:r>
        <w:t>75 mm focal length</w:t>
      </w:r>
      <w:r w:rsidRPr="00517963">
        <w:t xml:space="preserve">) is used to focus the beam on the patterns of metasurfaces. The transmitted light is collected by </w:t>
      </w:r>
      <w:r>
        <w:t xml:space="preserve">an </w:t>
      </w:r>
      <w:r w:rsidRPr="00517963">
        <w:t xml:space="preserve">optical power meter (OPM, 700 nm - 1800 nm, S122C; 1200 nm </w:t>
      </w:r>
      <w:r>
        <w:t>-</w:t>
      </w:r>
      <w:r w:rsidRPr="00517963">
        <w:t xml:space="preserve"> 2500 nm, S148C, Thorlabs).</w:t>
      </w:r>
    </w:p>
    <w:p w14:paraId="2C130CA7" w14:textId="77777777" w:rsidR="00474C0F" w:rsidRPr="00CD3D08" w:rsidRDefault="00474C0F" w:rsidP="00CD3D08">
      <w:pPr>
        <w:pStyle w:val="08SectionHeader10"/>
      </w:pPr>
      <w:bookmarkStart w:id="6" w:name="_Toc92435872"/>
      <w:bookmarkStart w:id="7" w:name="_Hlk82174070"/>
      <w:r w:rsidRPr="00CD3D08">
        <w:t>6. Laser intensity dependent optical transmission model</w:t>
      </w:r>
      <w:bookmarkEnd w:id="6"/>
    </w:p>
    <w:p w14:paraId="71D9225B" w14:textId="7BD30677" w:rsidR="00474C0F" w:rsidRDefault="00474C0F" w:rsidP="000013B7">
      <w:pPr>
        <w:pStyle w:val="09BodyFirstParagraph"/>
      </w:pPr>
      <w:r>
        <w:t>The optical transmission of plasmonic metasurfaces can be generally modeled by a two-port symmetry system</w:t>
      </w:r>
      <w:r w:rsidR="00F73C4E">
        <w:t xml:space="preserve"> </w:t>
      </w:r>
      <w:r w:rsidR="0046600E">
        <w:fldChar w:fldCharType="begin"/>
      </w:r>
      <w:r w:rsidR="005C77FE">
        <w:instrText xml:space="preserve"> ADDIN EN.CITE &lt;EndNote&gt;&lt;Cite&gt;&lt;Author&gt;Fan&lt;/Author&gt;&lt;Year&gt;2003&lt;/Year&gt;&lt;RecNum&gt;255&lt;/RecNum&gt;&lt;DisplayText&gt;&lt;style face="superscript"&gt;2&lt;/style&gt;&lt;/DisplayText&gt;&lt;record&gt;&lt;rec-number&gt;255&lt;/rec-number&gt;&lt;foreign-keys&gt;&lt;key app="EN" db-id="dezfexv915dafwesxe75rp2f99trfvtsxdw5" timestamp="1646132965" guid="aa643da8-fb8f-44f2-ba35-498c27c51b2d"&gt;255&lt;/key&gt;&lt;/foreign-keys&gt;&lt;ref-type name="Journal Article"&gt;17&lt;/ref-type&gt;&lt;contributors&gt;&lt;authors&gt;&lt;author&gt;Fan, S.&lt;/author&gt;&lt;author&gt;Suh, W.&lt;/author&gt;&lt;author&gt;Joannopoulos, J. D.&lt;/author&gt;&lt;/authors&gt;&lt;/contributors&gt;&lt;auth-address&gt;Department of Electrical Engineering, Stanford University, Stanford, California 94305, USA. shanhui@stanford.edu&lt;/auth-address&gt;&lt;titles&gt;&lt;title&gt;Temporal coupled-mode theory for the Fano resonance in optical resonators&lt;/title&gt;&lt;secondary-title&gt;J Opt Soc Am A Opt Image Sci Vis&lt;/secondary-title&gt;&lt;/titles&gt;&lt;periodical&gt;&lt;full-title&gt;J Opt Soc Am A Opt Image Sci Vis&lt;/full-title&gt;&lt;/periodical&gt;&lt;pages&gt;569-72&lt;/pages&gt;&lt;volume&gt;20&lt;/volume&gt;&lt;number&gt;3&lt;/number&gt;&lt;edition&gt;2003/03/13&lt;/edition&gt;&lt;dates&gt;&lt;year&gt;2003&lt;/year&gt;&lt;pub-dates&gt;&lt;date&gt;Mar&lt;/date&gt;&lt;/pub-dates&gt;&lt;/dates&gt;&lt;isbn&gt;1084-7529 (Print)&amp;#xD;1084-7529 (Linking)&lt;/isbn&gt;&lt;accession-num&gt;12630843&lt;/accession-num&gt;&lt;urls&gt;&lt;related-urls&gt;&lt;url&gt;https://www.ncbi.nlm.nih.gov/pubmed/12630843&lt;/url&gt;&lt;/related-urls&gt;&lt;/urls&gt;&lt;electronic-resource-num&gt;10.1364/josaa.20.000569&lt;/electronic-resource-num&gt;&lt;/record&gt;&lt;/Cite&gt;&lt;/EndNote&gt;</w:instrText>
      </w:r>
      <w:r w:rsidR="0046600E">
        <w:fldChar w:fldCharType="separate"/>
      </w:r>
      <w:r w:rsidR="005C77FE" w:rsidRPr="005C77FE">
        <w:rPr>
          <w:noProof/>
          <w:vertAlign w:val="superscript"/>
        </w:rPr>
        <w:t>2</w:t>
      </w:r>
      <w:r w:rsidR="0046600E">
        <w:fldChar w:fldCharType="end"/>
      </w:r>
      <w:r>
        <w:t>. As sketched in Fig. S</w:t>
      </w:r>
      <w:r w:rsidR="00C33C56">
        <w:t>6</w:t>
      </w:r>
      <w:r>
        <w:t xml:space="preserve">, given an incident light </w:t>
      </w:r>
      <w:r w:rsidRPr="002149BC">
        <w:rPr>
          <w:i/>
          <w:iCs/>
        </w:rPr>
        <w:t>I</w:t>
      </w:r>
      <w:r w:rsidRPr="002149BC">
        <w:rPr>
          <w:i/>
          <w:iCs/>
          <w:vertAlign w:val="subscript"/>
        </w:rPr>
        <w:t>0</w:t>
      </w:r>
      <w:r>
        <w:t xml:space="preserve">, the transmittance, reflectance and the absorbance are defined as </w:t>
      </w:r>
      <w:r w:rsidRPr="002149BC">
        <w:rPr>
          <w:i/>
          <w:iCs/>
        </w:rPr>
        <w:t>I</w:t>
      </w:r>
      <w:r w:rsidRPr="002149BC">
        <w:rPr>
          <w:i/>
          <w:iCs/>
          <w:vertAlign w:val="subscript"/>
        </w:rPr>
        <w:t>t</w:t>
      </w:r>
      <w:r>
        <w:t xml:space="preserve">, </w:t>
      </w:r>
      <w:r w:rsidRPr="002149BC">
        <w:rPr>
          <w:i/>
          <w:iCs/>
        </w:rPr>
        <w:t>I</w:t>
      </w:r>
      <w:r w:rsidRPr="002149BC">
        <w:rPr>
          <w:i/>
          <w:iCs/>
          <w:vertAlign w:val="subscript"/>
        </w:rPr>
        <w:t>r</w:t>
      </w:r>
      <w:r>
        <w:t xml:space="preserve"> and </w:t>
      </w:r>
      <w:r w:rsidRPr="002149BC">
        <w:rPr>
          <w:i/>
          <w:iCs/>
        </w:rPr>
        <w:t>I</w:t>
      </w:r>
      <w:r w:rsidRPr="002149BC">
        <w:rPr>
          <w:i/>
          <w:iCs/>
          <w:vertAlign w:val="subscript"/>
        </w:rPr>
        <w:t>abs</w:t>
      </w:r>
      <w:r w:rsidRPr="002149BC">
        <w:rPr>
          <w:i/>
          <w:iCs/>
        </w:rPr>
        <w:t xml:space="preserve"> </w:t>
      </w:r>
      <w:r>
        <w:t xml:space="preserve">respectively. When the metasurface is excited in resonant cases, e. g. fundamental wavelength matches one of plasmonic modes, the metasurface can be regarded as a resonator, which radiates in forward </w:t>
      </w:r>
      <w:r w:rsidRPr="000013B7">
        <w:t>(</w:t>
      </w:r>
      <w:r w:rsidRPr="002149BC">
        <w:rPr>
          <w:i/>
          <w:iCs/>
        </w:rPr>
        <w:t>I</w:t>
      </w:r>
      <w:r w:rsidRPr="002149BC">
        <w:rPr>
          <w:i/>
          <w:iCs/>
          <w:vertAlign w:val="subscript"/>
        </w:rPr>
        <w:t>t</w:t>
      </w:r>
      <w:r>
        <w:t>) and backward (</w:t>
      </w:r>
      <w:r w:rsidRPr="002149BC">
        <w:rPr>
          <w:i/>
          <w:iCs/>
        </w:rPr>
        <w:t>I</w:t>
      </w:r>
      <w:r w:rsidRPr="002149BC">
        <w:rPr>
          <w:i/>
          <w:iCs/>
          <w:vertAlign w:val="subscript"/>
        </w:rPr>
        <w:t>r</w:t>
      </w:r>
      <w:r>
        <w:t xml:space="preserve">) directions almost equally. Assume </w:t>
      </w:r>
      <w:r w:rsidRPr="002149BC">
        <w:rPr>
          <w:i/>
          <w:iCs/>
        </w:rPr>
        <w:t>I</w:t>
      </w:r>
      <w:r w:rsidRPr="002149BC">
        <w:rPr>
          <w:i/>
          <w:iCs/>
          <w:vertAlign w:val="subscript"/>
        </w:rPr>
        <w:t>t</w:t>
      </w:r>
      <w:r w:rsidR="006A0275">
        <w:rPr>
          <w:i/>
          <w:iCs/>
          <w:vertAlign w:val="subscript"/>
        </w:rPr>
        <w:t xml:space="preserve"> </w:t>
      </w:r>
      <w:r>
        <w:t>=</w:t>
      </w:r>
      <w:r w:rsidR="006A0275">
        <w:t xml:space="preserve"> </w:t>
      </w:r>
      <w:r w:rsidRPr="002149BC">
        <w:rPr>
          <w:i/>
          <w:iCs/>
        </w:rPr>
        <w:t>I</w:t>
      </w:r>
      <w:r w:rsidRPr="002149BC">
        <w:rPr>
          <w:i/>
          <w:iCs/>
          <w:vertAlign w:val="subscript"/>
        </w:rPr>
        <w:t>r</w:t>
      </w:r>
      <w:r>
        <w:t xml:space="preserve">, then the transmission </w:t>
      </w:r>
      <w:r w:rsidRPr="002149BC">
        <w:rPr>
          <w:i/>
          <w:iCs/>
        </w:rPr>
        <w:t>T</w:t>
      </w:r>
      <w:r w:rsidR="006A0275">
        <w:rPr>
          <w:i/>
          <w:iCs/>
        </w:rPr>
        <w:t xml:space="preserve"> </w:t>
      </w:r>
      <w:r>
        <w:t xml:space="preserve">= </w:t>
      </w:r>
      <w:r w:rsidRPr="002149BC">
        <w:rPr>
          <w:i/>
          <w:iCs/>
        </w:rPr>
        <w:t>I</w:t>
      </w:r>
      <w:r w:rsidRPr="002149BC">
        <w:rPr>
          <w:i/>
          <w:iCs/>
          <w:vertAlign w:val="subscript"/>
        </w:rPr>
        <w:t>t</w:t>
      </w:r>
      <w:r>
        <w:t>/</w:t>
      </w:r>
      <w:r w:rsidRPr="002149BC">
        <w:rPr>
          <w:i/>
          <w:iCs/>
        </w:rPr>
        <w:t>I</w:t>
      </w:r>
      <w:r w:rsidRPr="002149BC">
        <w:rPr>
          <w:i/>
          <w:iCs/>
          <w:vertAlign w:val="subscript"/>
        </w:rPr>
        <w:t>0</w:t>
      </w:r>
      <w:r w:rsidR="006A0275">
        <w:rPr>
          <w:i/>
          <w:iCs/>
          <w:vertAlign w:val="subscript"/>
        </w:rPr>
        <w:t xml:space="preserve"> </w:t>
      </w:r>
      <w:r>
        <w:t>=</w:t>
      </w:r>
      <w:r w:rsidR="006A0275">
        <w:t xml:space="preserve"> </w:t>
      </w:r>
      <w:r>
        <w:t>(</w:t>
      </w:r>
      <w:r w:rsidRPr="002149BC">
        <w:rPr>
          <w:i/>
          <w:iCs/>
        </w:rPr>
        <w:t>I</w:t>
      </w:r>
      <w:r w:rsidRPr="002149BC">
        <w:rPr>
          <w:i/>
          <w:iCs/>
          <w:vertAlign w:val="subscript"/>
        </w:rPr>
        <w:t>0</w:t>
      </w:r>
      <w:r>
        <w:t>-</w:t>
      </w:r>
      <w:r w:rsidRPr="002149BC">
        <w:rPr>
          <w:i/>
          <w:iCs/>
        </w:rPr>
        <w:t>I</w:t>
      </w:r>
      <w:r w:rsidRPr="002149BC">
        <w:rPr>
          <w:i/>
          <w:iCs/>
          <w:vertAlign w:val="subscript"/>
        </w:rPr>
        <w:t>abs</w:t>
      </w:r>
      <w:r>
        <w:t>-</w:t>
      </w:r>
      <w:r w:rsidRPr="002149BC">
        <w:rPr>
          <w:i/>
          <w:iCs/>
        </w:rPr>
        <w:t>I</w:t>
      </w:r>
      <w:r w:rsidRPr="002149BC">
        <w:rPr>
          <w:i/>
          <w:iCs/>
          <w:vertAlign w:val="subscript"/>
        </w:rPr>
        <w:t>r</w:t>
      </w:r>
      <w:r>
        <w:t>)/</w:t>
      </w:r>
      <w:r w:rsidRPr="002149BC">
        <w:rPr>
          <w:i/>
          <w:iCs/>
        </w:rPr>
        <w:t>I</w:t>
      </w:r>
      <w:r w:rsidRPr="002149BC">
        <w:rPr>
          <w:i/>
          <w:iCs/>
          <w:vertAlign w:val="subscript"/>
        </w:rPr>
        <w:t>0</w:t>
      </w:r>
      <w:r>
        <w:t xml:space="preserve">. Thus, we have </w:t>
      </w:r>
      <w:r w:rsidRPr="002149BC">
        <w:rPr>
          <w:i/>
          <w:iCs/>
        </w:rPr>
        <w:t>T</w:t>
      </w:r>
      <w:r w:rsidR="007269F9">
        <w:rPr>
          <w:i/>
          <w:iCs/>
        </w:rPr>
        <w:t xml:space="preserve"> </w:t>
      </w:r>
      <w:r>
        <w:t>=</w:t>
      </w:r>
      <w:r w:rsidR="007269F9">
        <w:t xml:space="preserve"> </w:t>
      </w:r>
      <w:r>
        <w:t>(</w:t>
      </w:r>
      <w:r w:rsidRPr="002149BC">
        <w:rPr>
          <w:i/>
          <w:iCs/>
        </w:rPr>
        <w:t>I</w:t>
      </w:r>
      <w:r w:rsidRPr="002149BC">
        <w:rPr>
          <w:i/>
          <w:iCs/>
          <w:vertAlign w:val="subscript"/>
        </w:rPr>
        <w:t>0</w:t>
      </w:r>
      <w:r>
        <w:t>-</w:t>
      </w:r>
      <w:r w:rsidRPr="002149BC">
        <w:rPr>
          <w:i/>
          <w:iCs/>
        </w:rPr>
        <w:t>I</w:t>
      </w:r>
      <w:r w:rsidRPr="002149BC">
        <w:rPr>
          <w:i/>
          <w:iCs/>
          <w:vertAlign w:val="subscript"/>
        </w:rPr>
        <w:t>abs</w:t>
      </w:r>
      <w:r>
        <w:t>)/2</w:t>
      </w:r>
      <w:r w:rsidRPr="002149BC">
        <w:rPr>
          <w:i/>
          <w:iCs/>
        </w:rPr>
        <w:t>I</w:t>
      </w:r>
      <w:r w:rsidRPr="002149BC">
        <w:rPr>
          <w:i/>
          <w:iCs/>
          <w:vertAlign w:val="subscript"/>
        </w:rPr>
        <w:t>0</w:t>
      </w:r>
      <w:r>
        <w:t xml:space="preserve">. Given an effective absorption </w:t>
      </w:r>
      <w:r w:rsidRPr="002149BC">
        <w:rPr>
          <w:i/>
          <w:iCs/>
        </w:rPr>
        <w:t>A</w:t>
      </w:r>
      <w:r w:rsidRPr="002149BC">
        <w:rPr>
          <w:i/>
          <w:iCs/>
          <w:vertAlign w:val="subscript"/>
        </w:rPr>
        <w:t>eff</w:t>
      </w:r>
      <w:r>
        <w:t>, the transmission is gained:</w:t>
      </w:r>
    </w:p>
    <w:p w14:paraId="3207E609" w14:textId="77777777" w:rsidR="00474C0F" w:rsidRPr="00DC1702" w:rsidRDefault="00000000" w:rsidP="00474C0F">
      <w:pPr>
        <w:rPr>
          <w:rFonts w:ascii="Times New Roman" w:hAnsi="Times New Roman"/>
          <w:sz w:val="20"/>
        </w:rPr>
      </w:pPr>
      <m:oMathPara>
        <m:oMath>
          <m:eqArr>
            <m:eqArrPr>
              <m:maxDist m:val="1"/>
              <m:ctrlPr>
                <w:rPr>
                  <w:rFonts w:ascii="Cambria Math" w:hAnsi="Cambria Math" w:cstheme="majorHAnsi"/>
                  <w:i/>
                  <w:sz w:val="20"/>
                </w:rPr>
              </m:ctrlPr>
            </m:eqArrPr>
            <m:e>
              <m:r>
                <w:rPr>
                  <w:rFonts w:ascii="Cambria Math" w:hAnsi="Cambria Math" w:cstheme="majorHAnsi"/>
                  <w:sz w:val="20"/>
                </w:rPr>
                <m:t>T=</m:t>
              </m:r>
              <m:f>
                <m:fPr>
                  <m:ctrlPr>
                    <w:rPr>
                      <w:rFonts w:ascii="Cambria Math" w:hAnsi="Cambria Math" w:cstheme="majorHAnsi"/>
                      <w:i/>
                      <w:sz w:val="20"/>
                    </w:rPr>
                  </m:ctrlPr>
                </m:fPr>
                <m:num>
                  <m:d>
                    <m:dPr>
                      <m:ctrlPr>
                        <w:rPr>
                          <w:rFonts w:ascii="Cambria Math" w:hAnsi="Cambria Math" w:cstheme="majorHAnsi"/>
                          <w:i/>
                          <w:sz w:val="20"/>
                        </w:rPr>
                      </m:ctrlPr>
                    </m:dPr>
                    <m:e>
                      <m:r>
                        <w:rPr>
                          <w:rFonts w:ascii="Cambria Math" w:hAnsi="Cambria Math" w:cstheme="majorHAnsi"/>
                          <w:sz w:val="20"/>
                        </w:rPr>
                        <m:t>1-</m:t>
                      </m:r>
                      <m:sSub>
                        <m:sSubPr>
                          <m:ctrlPr>
                            <w:rPr>
                              <w:rFonts w:ascii="Cambria Math" w:hAnsi="Cambria Math" w:cstheme="majorHAnsi"/>
                              <w:i/>
                              <w:sz w:val="20"/>
                            </w:rPr>
                          </m:ctrlPr>
                        </m:sSubPr>
                        <m:e>
                          <m:r>
                            <w:rPr>
                              <w:rFonts w:ascii="Cambria Math" w:hAnsi="Cambria Math" w:cstheme="majorHAnsi"/>
                              <w:sz w:val="20"/>
                            </w:rPr>
                            <m:t>A</m:t>
                          </m:r>
                        </m:e>
                        <m:sub>
                          <m:r>
                            <w:rPr>
                              <w:rFonts w:ascii="Cambria Math" w:hAnsi="Cambria Math" w:cstheme="majorHAnsi"/>
                              <w:sz w:val="20"/>
                            </w:rPr>
                            <m:t>eff</m:t>
                          </m:r>
                        </m:sub>
                      </m:sSub>
                    </m:e>
                  </m:d>
                </m:num>
                <m:den>
                  <m:r>
                    <w:rPr>
                      <w:rFonts w:ascii="Cambria Math" w:hAnsi="Cambria Math" w:cstheme="majorHAnsi"/>
                      <w:sz w:val="20"/>
                    </w:rPr>
                    <m:t>2</m:t>
                  </m:r>
                </m:den>
              </m:f>
              <m:r>
                <w:rPr>
                  <w:rFonts w:ascii="Cambria Math" w:hAnsi="Cambria Math" w:cstheme="majorHAnsi"/>
                  <w:sz w:val="20"/>
                </w:rPr>
                <m:t>#</m:t>
              </m:r>
              <m:d>
                <m:dPr>
                  <m:ctrlPr>
                    <w:rPr>
                      <w:rFonts w:ascii="Cambria Math" w:hAnsi="Cambria Math" w:cstheme="majorHAnsi"/>
                      <w:iCs/>
                      <w:sz w:val="20"/>
                    </w:rPr>
                  </m:ctrlPr>
                </m:dPr>
                <m:e>
                  <m:r>
                    <m:rPr>
                      <m:sty m:val="p"/>
                    </m:rPr>
                    <w:rPr>
                      <w:rFonts w:ascii="Cambria Math" w:hAnsi="Cambria Math" w:cstheme="majorHAnsi"/>
                      <w:sz w:val="20"/>
                    </w:rPr>
                    <m:t>S1</m:t>
                  </m:r>
                </m:e>
              </m:d>
            </m:e>
          </m:eqArr>
        </m:oMath>
      </m:oMathPara>
    </w:p>
    <w:p w14:paraId="2556C208" w14:textId="77777777" w:rsidR="000554E2" w:rsidRDefault="000554E2" w:rsidP="00CD3D08">
      <w:pPr>
        <w:spacing w:before="120" w:after="0"/>
        <w:ind w:firstLineChars="200" w:firstLine="400"/>
        <w:jc w:val="center"/>
        <w:rPr>
          <w:rFonts w:ascii="Times New Roman" w:hAnsi="Times New Roman"/>
          <w:sz w:val="20"/>
        </w:rPr>
      </w:pPr>
    </w:p>
    <w:p w14:paraId="7410AD2D" w14:textId="36E90AF9" w:rsidR="00474C0F" w:rsidRDefault="00474C0F" w:rsidP="00CD3D08">
      <w:pPr>
        <w:spacing w:before="120" w:after="0"/>
        <w:ind w:firstLineChars="200" w:firstLine="400"/>
        <w:jc w:val="center"/>
        <w:rPr>
          <w:rFonts w:ascii="Times New Roman" w:hAnsi="Times New Roman"/>
          <w:sz w:val="20"/>
        </w:rPr>
      </w:pPr>
      <w:r>
        <w:rPr>
          <w:rFonts w:ascii="Times New Roman" w:hAnsi="Times New Roman"/>
          <w:noProof/>
          <w:sz w:val="20"/>
        </w:rPr>
        <w:lastRenderedPageBreak/>
        <w:drawing>
          <wp:inline distT="0" distB="0" distL="0" distR="0" wp14:anchorId="0E7525B5" wp14:editId="22889868">
            <wp:extent cx="1444028" cy="869657"/>
            <wp:effectExtent l="0" t="0" r="3810" b="6985"/>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0962" cy="940080"/>
                    </a:xfrm>
                    <a:prstGeom prst="rect">
                      <a:avLst/>
                    </a:prstGeom>
                  </pic:spPr>
                </pic:pic>
              </a:graphicData>
            </a:graphic>
          </wp:inline>
        </w:drawing>
      </w:r>
    </w:p>
    <w:p w14:paraId="3ED0833F" w14:textId="02724F71" w:rsidR="00474C0F" w:rsidRPr="00FF32CB" w:rsidRDefault="00474C0F" w:rsidP="00CD3D08">
      <w:pPr>
        <w:pStyle w:val="12FigureCaptionShort"/>
        <w:rPr>
          <w:sz w:val="20"/>
          <w:szCs w:val="28"/>
        </w:rPr>
      </w:pPr>
      <w:r w:rsidRPr="00A32E35">
        <w:rPr>
          <w:rFonts w:ascii="Arial" w:hAnsi="Arial" w:cs="Arial" w:hint="eastAsia"/>
        </w:rPr>
        <w:t>F</w:t>
      </w:r>
      <w:r w:rsidRPr="00A32E35">
        <w:rPr>
          <w:rFonts w:ascii="Arial" w:hAnsi="Arial" w:cs="Arial"/>
        </w:rPr>
        <w:t>ig</w:t>
      </w:r>
      <w:r w:rsidR="00CD3D08" w:rsidRPr="00A32E35">
        <w:rPr>
          <w:rFonts w:ascii="Arial" w:hAnsi="Arial" w:cs="Arial"/>
        </w:rPr>
        <w:t>.</w:t>
      </w:r>
      <w:r w:rsidRPr="00A32E35">
        <w:rPr>
          <w:rFonts w:ascii="Arial" w:hAnsi="Arial" w:cs="Arial"/>
        </w:rPr>
        <w:t xml:space="preserve"> S</w:t>
      </w:r>
      <w:r w:rsidR="00C33C56" w:rsidRPr="00A32E35">
        <w:rPr>
          <w:rFonts w:ascii="Arial" w:hAnsi="Arial" w:cs="Arial"/>
        </w:rPr>
        <w:t>6</w:t>
      </w:r>
      <w:r w:rsidRPr="00A32E35">
        <w:rPr>
          <w:rFonts w:ascii="Arial" w:hAnsi="Arial" w:cs="Arial"/>
        </w:rPr>
        <w:t xml:space="preserve">. Two-port symmetry model for optical transmission of plasmonic </w:t>
      </w:r>
      <w:r w:rsidRPr="00FF32CB">
        <w:rPr>
          <w:sz w:val="20"/>
          <w:szCs w:val="28"/>
        </w:rPr>
        <w:t xml:space="preserve">metasurfaces. </w:t>
      </w:r>
    </w:p>
    <w:p w14:paraId="6047D0F1" w14:textId="77777777" w:rsidR="00474C0F" w:rsidRPr="005B72A0" w:rsidRDefault="00474C0F" w:rsidP="00576D81">
      <w:pPr>
        <w:pStyle w:val="09BodyFirstParagraph"/>
        <w:ind w:firstLineChars="200" w:firstLine="400"/>
      </w:pPr>
      <w:r w:rsidRPr="002149BC">
        <w:rPr>
          <w:i/>
          <w:iCs/>
        </w:rPr>
        <w:t>I</w:t>
      </w:r>
      <w:r w:rsidRPr="002149BC">
        <w:rPr>
          <w:i/>
          <w:iCs/>
          <w:vertAlign w:val="subscript"/>
        </w:rPr>
        <w:t>0</w:t>
      </w:r>
      <w:r w:rsidRPr="005B72A0">
        <w:t xml:space="preserve">, </w:t>
      </w:r>
      <w:r w:rsidRPr="002149BC">
        <w:rPr>
          <w:i/>
          <w:iCs/>
        </w:rPr>
        <w:t>I</w:t>
      </w:r>
      <w:r w:rsidRPr="002149BC">
        <w:rPr>
          <w:i/>
          <w:iCs/>
          <w:vertAlign w:val="subscript"/>
        </w:rPr>
        <w:t>t</w:t>
      </w:r>
      <w:r w:rsidRPr="005B72A0">
        <w:t xml:space="preserve">, </w:t>
      </w:r>
      <w:r w:rsidRPr="002149BC">
        <w:rPr>
          <w:i/>
          <w:iCs/>
        </w:rPr>
        <w:t>I</w:t>
      </w:r>
      <w:r w:rsidRPr="002149BC">
        <w:rPr>
          <w:i/>
          <w:iCs/>
          <w:vertAlign w:val="subscript"/>
        </w:rPr>
        <w:t>r</w:t>
      </w:r>
      <w:r w:rsidRPr="002149BC">
        <w:rPr>
          <w:i/>
          <w:iCs/>
        </w:rPr>
        <w:t xml:space="preserve"> </w:t>
      </w:r>
      <w:r w:rsidRPr="005B72A0">
        <w:t xml:space="preserve">and </w:t>
      </w:r>
      <w:r w:rsidRPr="002149BC">
        <w:rPr>
          <w:i/>
          <w:iCs/>
        </w:rPr>
        <w:t>I</w:t>
      </w:r>
      <w:r w:rsidRPr="002149BC">
        <w:rPr>
          <w:i/>
          <w:iCs/>
          <w:vertAlign w:val="subscript"/>
        </w:rPr>
        <w:t>abs</w:t>
      </w:r>
      <w:r w:rsidRPr="005B72A0">
        <w:t xml:space="preserve"> indicate the incident light, the transmittance, the reflectance and the absorbance, respectively.</w:t>
      </w:r>
    </w:p>
    <w:p w14:paraId="3E278B36" w14:textId="160F482C" w:rsidR="00474C0F" w:rsidRDefault="00474C0F" w:rsidP="00576D81">
      <w:pPr>
        <w:pStyle w:val="09BodyFirstParagraph"/>
        <w:ind w:firstLineChars="200" w:firstLine="400"/>
      </w:pPr>
      <w:r>
        <w:rPr>
          <w:rFonts w:hint="eastAsia"/>
        </w:rPr>
        <w:t>T</w:t>
      </w:r>
      <w:r>
        <w:t xml:space="preserve">he effective absorption is given by </w:t>
      </w:r>
      <w:r w:rsidRPr="002149BC">
        <w:rPr>
          <w:i/>
          <w:iCs/>
        </w:rPr>
        <w:t>A</w:t>
      </w:r>
      <w:r w:rsidRPr="002149BC">
        <w:rPr>
          <w:i/>
          <w:iCs/>
          <w:vertAlign w:val="subscript"/>
        </w:rPr>
        <w:t>eff</w:t>
      </w:r>
      <w:r w:rsidRPr="002149BC">
        <w:rPr>
          <w:i/>
          <w:iCs/>
        </w:rPr>
        <w:t xml:space="preserve"> </w:t>
      </w:r>
      <w:r w:rsidR="00DE68A7">
        <w:rPr>
          <w:i/>
          <w:iCs/>
        </w:rPr>
        <w:t xml:space="preserve"> </w:t>
      </w:r>
      <w:r w:rsidRPr="000013B7">
        <w:t xml:space="preserve">= </w:t>
      </w:r>
      <w:bookmarkStart w:id="8" w:name="_Hlk85531178"/>
      <w:r w:rsidRPr="002149BC">
        <w:rPr>
          <w:i/>
          <w:iCs/>
        </w:rPr>
        <w:t>α</w:t>
      </w:r>
      <w:r w:rsidRPr="002149BC">
        <w:rPr>
          <w:i/>
          <w:iCs/>
          <w:vertAlign w:val="subscript"/>
        </w:rPr>
        <w:t>eff</w:t>
      </w:r>
      <w:bookmarkEnd w:id="8"/>
      <w:r w:rsidRPr="002149BC">
        <w:rPr>
          <w:i/>
          <w:iCs/>
        </w:rPr>
        <w:t>L</w:t>
      </w:r>
      <w:r>
        <w:t xml:space="preserve">, where </w:t>
      </w:r>
      <w:r w:rsidRPr="002149BC">
        <w:rPr>
          <w:i/>
          <w:iCs/>
        </w:rPr>
        <w:t>L</w:t>
      </w:r>
      <w:r>
        <w:t xml:space="preserve"> is the penetrating distance of the incident light and </w:t>
      </w:r>
      <w:r w:rsidRPr="002149BC">
        <w:rPr>
          <w:i/>
          <w:iCs/>
        </w:rPr>
        <w:t>α</w:t>
      </w:r>
      <w:r w:rsidRPr="002149BC">
        <w:rPr>
          <w:i/>
          <w:iCs/>
          <w:vertAlign w:val="subscript"/>
        </w:rPr>
        <w:t>eff</w:t>
      </w:r>
      <w:r w:rsidRPr="000013B7">
        <w:t xml:space="preserve"> </w:t>
      </w:r>
      <w:r>
        <w:t>is the effective absorption coefficient, which can be regarded as a combination of the linear absorption and nonlinear absorption evens, e. g. two- and three-photon absorption. Thus, the effective absorption coefficient is given by</w:t>
      </w:r>
    </w:p>
    <w:p w14:paraId="0E147268" w14:textId="77777777" w:rsidR="00474C0F" w:rsidRPr="001F71E8" w:rsidRDefault="00000000" w:rsidP="00474C0F">
      <w:pPr>
        <w:jc w:val="center"/>
        <w:rPr>
          <w:rFonts w:ascii="Times New Roman" w:hAnsi="Times New Roman"/>
          <w:sz w:val="20"/>
        </w:rPr>
      </w:pPr>
      <m:oMathPara>
        <m:oMath>
          <m:eqArr>
            <m:eqArrPr>
              <m:maxDist m:val="1"/>
              <m:ctrlPr>
                <w:rPr>
                  <w:rFonts w:ascii="Cambria Math" w:hAnsi="Cambria Math"/>
                  <w:i/>
                  <w:sz w:val="20"/>
                </w:rPr>
              </m:ctrlPr>
            </m:eqArrPr>
            <m:e>
              <m:sSub>
                <m:sSubPr>
                  <m:ctrlPr>
                    <w:rPr>
                      <w:rFonts w:ascii="Cambria Math" w:hAnsi="Cambria Math"/>
                      <w:i/>
                      <w:sz w:val="20"/>
                    </w:rPr>
                  </m:ctrlPr>
                </m:sSubPr>
                <m:e>
                  <m:r>
                    <w:rPr>
                      <w:rFonts w:ascii="Cambria Math" w:hAnsi="Cambria Math"/>
                      <w:sz w:val="20"/>
                    </w:rPr>
                    <m:t>α</m:t>
                  </m:r>
                </m:e>
                <m:sub>
                  <m:r>
                    <w:rPr>
                      <w:rFonts w:ascii="Cambria Math" w:hAnsi="Cambria Math"/>
                      <w:sz w:val="20"/>
                    </w:rPr>
                    <m:t>eff</m:t>
                  </m:r>
                </m:sub>
              </m:sSub>
              <m:r>
                <w:rPr>
                  <w:rFonts w:ascii="Cambria Math" w:hAnsi="Cambria Math"/>
                  <w:sz w:val="20"/>
                </w:rPr>
                <m:t>=</m:t>
              </m:r>
              <m:sSub>
                <m:sSubPr>
                  <m:ctrlPr>
                    <w:rPr>
                      <w:rFonts w:ascii="Cambria Math" w:hAnsi="Cambria Math"/>
                      <w:i/>
                      <w:sz w:val="20"/>
                    </w:rPr>
                  </m:ctrlPr>
                </m:sSubPr>
                <m:e>
                  <m:r>
                    <w:rPr>
                      <w:rFonts w:ascii="Cambria Math" w:hAnsi="Cambria Math"/>
                      <w:sz w:val="20"/>
                    </w:rPr>
                    <m:t>α</m:t>
                  </m:r>
                </m:e>
                <m:sub>
                  <m:r>
                    <w:rPr>
                      <w:rFonts w:ascii="Cambria Math" w:hAnsi="Cambria Math"/>
                      <w:sz w:val="20"/>
                    </w:rPr>
                    <m:t>0</m:t>
                  </m:r>
                </m:sub>
              </m:sSub>
              <m:r>
                <w:rPr>
                  <w:rFonts w:ascii="Cambria Math" w:hAnsi="Cambria Math"/>
                  <w:sz w:val="20"/>
                </w:rPr>
                <m:t>+β</m:t>
              </m:r>
              <m:sSub>
                <m:sSubPr>
                  <m:ctrlPr>
                    <w:rPr>
                      <w:rFonts w:ascii="Cambria Math" w:hAnsi="Cambria Math"/>
                      <w:i/>
                      <w:sz w:val="20"/>
                    </w:rPr>
                  </m:ctrlPr>
                </m:sSubPr>
                <m:e>
                  <m:r>
                    <w:rPr>
                      <w:rFonts w:ascii="Cambria Math" w:hAnsi="Cambria Math"/>
                      <w:sz w:val="20"/>
                    </w:rPr>
                    <m:t>I</m:t>
                  </m:r>
                </m:e>
                <m:sub>
                  <m:r>
                    <w:rPr>
                      <w:rFonts w:ascii="Cambria Math" w:hAnsi="Cambria Math"/>
                      <w:sz w:val="20"/>
                    </w:rPr>
                    <m:t>0</m:t>
                  </m:r>
                </m:sub>
              </m:sSub>
              <m:r>
                <w:rPr>
                  <w:rFonts w:ascii="Cambria Math" w:hAnsi="Cambria Math"/>
                  <w:sz w:val="20"/>
                </w:rPr>
                <m:t>+γ</m:t>
              </m:r>
              <m:sSubSup>
                <m:sSubSupPr>
                  <m:ctrlPr>
                    <w:rPr>
                      <w:rFonts w:ascii="Cambria Math" w:hAnsi="Cambria Math"/>
                      <w:i/>
                      <w:sz w:val="20"/>
                    </w:rPr>
                  </m:ctrlPr>
                </m:sSubSupPr>
                <m:e>
                  <m:r>
                    <w:rPr>
                      <w:rFonts w:ascii="Cambria Math" w:hAnsi="Cambria Math"/>
                      <w:sz w:val="20"/>
                    </w:rPr>
                    <m:t>I</m:t>
                  </m:r>
                </m:e>
                <m:sub>
                  <m:r>
                    <w:rPr>
                      <w:rFonts w:ascii="Cambria Math" w:hAnsi="Cambria Math"/>
                      <w:sz w:val="20"/>
                    </w:rPr>
                    <m:t>0</m:t>
                  </m:r>
                </m:sub>
                <m:sup>
                  <m:r>
                    <w:rPr>
                      <w:rFonts w:ascii="Cambria Math" w:hAnsi="Cambria Math"/>
                      <w:sz w:val="20"/>
                    </w:rPr>
                    <m:t>2</m:t>
                  </m:r>
                </m:sup>
              </m:sSubSup>
              <m:r>
                <w:rPr>
                  <w:rFonts w:ascii="Cambria Math" w:hAnsi="Cambria Math"/>
                  <w:sz w:val="20"/>
                </w:rPr>
                <m:t>+…#</m:t>
              </m:r>
              <m:d>
                <m:dPr>
                  <m:ctrlPr>
                    <w:rPr>
                      <w:rFonts w:ascii="Cambria Math" w:hAnsi="Cambria Math"/>
                      <w:iCs/>
                      <w:sz w:val="20"/>
                    </w:rPr>
                  </m:ctrlPr>
                </m:dPr>
                <m:e>
                  <m:r>
                    <m:rPr>
                      <m:sty m:val="p"/>
                    </m:rPr>
                    <w:rPr>
                      <w:rFonts w:ascii="Cambria Math" w:hAnsi="Cambria Math"/>
                      <w:sz w:val="20"/>
                    </w:rPr>
                    <m:t>S2</m:t>
                  </m:r>
                </m:e>
              </m:d>
            </m:e>
          </m:eqArr>
        </m:oMath>
      </m:oMathPara>
    </w:p>
    <w:p w14:paraId="4175C6D0" w14:textId="31853697" w:rsidR="00474C0F" w:rsidRDefault="00474C0F" w:rsidP="00576D81">
      <w:pPr>
        <w:pStyle w:val="09BodyFirstParagraph"/>
        <w:ind w:firstLineChars="200" w:firstLine="400"/>
      </w:pPr>
      <w:r>
        <w:rPr>
          <w:rFonts w:hint="eastAsia"/>
        </w:rPr>
        <w:t>w</w:t>
      </w:r>
      <w:r>
        <w:t xml:space="preserve">here </w:t>
      </w:r>
      <w:r w:rsidRPr="005758F8">
        <w:rPr>
          <w:i/>
          <w:iCs/>
        </w:rPr>
        <w:t>α</w:t>
      </w:r>
      <w:r w:rsidRPr="005758F8">
        <w:rPr>
          <w:i/>
          <w:iCs/>
          <w:vertAlign w:val="subscript"/>
        </w:rPr>
        <w:t>0</w:t>
      </w:r>
      <w:r>
        <w:t xml:space="preserve">, </w:t>
      </w:r>
      <w:r w:rsidRPr="005758F8">
        <w:rPr>
          <w:i/>
          <w:iCs/>
        </w:rPr>
        <w:t>β</w:t>
      </w:r>
      <w:r>
        <w:t xml:space="preserve"> and </w:t>
      </w:r>
      <w:r w:rsidRPr="005758F8">
        <w:rPr>
          <w:i/>
          <w:iCs/>
        </w:rPr>
        <w:t xml:space="preserve">γ </w:t>
      </w:r>
      <w:r>
        <w:t xml:space="preserve">are the linear, two-photon and three-photon absorption coefficients, respectively. </w:t>
      </w:r>
      <w:r w:rsidRPr="005758F8">
        <w:rPr>
          <w:i/>
          <w:iCs/>
        </w:rPr>
        <w:t>β</w:t>
      </w:r>
      <w:r>
        <w:t xml:space="preserve"> is </w:t>
      </w:r>
      <w:r>
        <w:rPr>
          <w:rFonts w:hint="eastAsia"/>
        </w:rPr>
        <w:t>a</w:t>
      </w:r>
      <w:r>
        <w:t>lso commonly called nonlinear absorption coefficient for simplification, which is connected with the both imaginary part and real part of the third-order susceptibility</w:t>
      </w:r>
      <w:r w:rsidR="002149BC">
        <w:t xml:space="preserve"> </w:t>
      </w:r>
      <w:r w:rsidR="000B541A">
        <w:fldChar w:fldCharType="begin"/>
      </w:r>
      <w:r w:rsidR="005C77FE">
        <w:instrText xml:space="preserve"> ADDIN EN.CITE &lt;EndNote&gt;&lt;Cite&gt;&lt;Author&gt;Menezes&lt;/Author&gt;&lt;Year&gt;2019&lt;/Year&gt;&lt;RecNum&gt;117&lt;/RecNum&gt;&lt;DisplayText&gt;&lt;style face="superscript"&gt;3&lt;/style&gt;&lt;/DisplayText&gt;&lt;record&gt;&lt;rec-number&gt;117&lt;/rec-number&gt;&lt;foreign-keys&gt;&lt;key app="EN" db-id="dezfexv915dafwesxe75rp2f99trfvtsxdw5" timestamp="1643856256" guid="be3b4a10-1a94-4068-84bf-c8a13af04376"&gt;117&lt;/key&gt;&lt;/foreign-keys&gt;&lt;ref-type name="Journal Article"&gt;17&lt;/ref-type&gt;&lt;contributors&gt;&lt;authors&gt;&lt;author&gt;Menezes, Leonardo de S.&lt;/author&gt;&lt;author&gt;Acioli, Lúcio H.&lt;/author&gt;&lt;author&gt;Maldonado, Melissa&lt;/author&gt;&lt;author&gt;Naciri, Jawad&lt;/author&gt;&lt;author&gt;Charipar, Nicholas&lt;/author&gt;&lt;author&gt;Fontana, Jake&lt;/author&gt;&lt;author&gt;Rativa, Diego&lt;/author&gt;&lt;author&gt;de Araújo, Cid B.&lt;/author&gt;&lt;author&gt;Gomes, Anderson S. L.&lt;/author&gt;&lt;/authors&gt;&lt;/contributors&gt;&lt;titles&gt;&lt;title&gt;Large third-order nonlinear susceptibility from a gold metasurface far off the plasmonic resonance&lt;/title&gt;&lt;secondary-title&gt;Journal of the Optical Society of America B&lt;/secondary-title&gt;&lt;/titles&gt;&lt;periodical&gt;&lt;full-title&gt;Journal of the Optical Society of America B&lt;/full-title&gt;&lt;/periodical&gt;&lt;volume&gt;36&lt;/volume&gt;&lt;number&gt;6&lt;/number&gt;&lt;section&gt;1485&lt;/section&gt;&lt;dates&gt;&lt;year&gt;2019&lt;/year&gt;&lt;/dates&gt;&lt;isbn&gt;0740-3224&amp;#xD;1520-8540&lt;/isbn&gt;&lt;urls&gt;&lt;/urls&gt;&lt;electronic-resource-num&gt;10.1364/josab.36.001485&lt;/electronic-resource-num&gt;&lt;/record&gt;&lt;/Cite&gt;&lt;/EndNote&gt;</w:instrText>
      </w:r>
      <w:r w:rsidR="000B541A">
        <w:fldChar w:fldCharType="separate"/>
      </w:r>
      <w:r w:rsidR="005C77FE" w:rsidRPr="005C77FE">
        <w:rPr>
          <w:noProof/>
          <w:vertAlign w:val="superscript"/>
        </w:rPr>
        <w:t>3</w:t>
      </w:r>
      <w:r w:rsidR="000B541A">
        <w:fldChar w:fldCharType="end"/>
      </w:r>
      <w:r>
        <w:t>.</w:t>
      </w:r>
    </w:p>
    <w:p w14:paraId="5E58FAE5" w14:textId="77777777" w:rsidR="00474C0F" w:rsidRDefault="00474C0F" w:rsidP="00576D81">
      <w:pPr>
        <w:pStyle w:val="09BodyFirstParagraph"/>
        <w:ind w:firstLineChars="200" w:firstLine="400"/>
      </w:pPr>
      <w:r>
        <w:t xml:space="preserve">Now we consider the saturation absorption in a relatively intense light, which can be modeled as: </w:t>
      </w:r>
    </w:p>
    <w:p w14:paraId="169DFB29" w14:textId="77777777" w:rsidR="00474C0F" w:rsidRPr="00FA466F" w:rsidRDefault="00000000" w:rsidP="00474C0F">
      <w:pPr>
        <w:jc w:val="center"/>
        <w:rPr>
          <w:rFonts w:ascii="Times New Roman" w:hAnsi="Times New Roman"/>
          <w:sz w:val="20"/>
        </w:rPr>
      </w:pPr>
      <m:oMath>
        <m:eqArr>
          <m:eqArrPr>
            <m:maxDist m:val="1"/>
            <m:ctrlPr>
              <w:rPr>
                <w:rFonts w:ascii="Cambria Math" w:hAnsi="Cambria Math"/>
                <w:i/>
                <w:sz w:val="20"/>
              </w:rPr>
            </m:ctrlPr>
          </m:eqArrPr>
          <m:e>
            <m:sSubSup>
              <m:sSubSupPr>
                <m:ctrlPr>
                  <w:rPr>
                    <w:rFonts w:ascii="Cambria Math" w:hAnsi="Cambria Math"/>
                    <w:i/>
                    <w:sz w:val="20"/>
                  </w:rPr>
                </m:ctrlPr>
              </m:sSubSupPr>
              <m:e>
                <m:r>
                  <w:rPr>
                    <w:rFonts w:ascii="Cambria Math" w:hAnsi="Cambria Math"/>
                    <w:sz w:val="20"/>
                  </w:rPr>
                  <m:t>α</m:t>
                </m:r>
              </m:e>
              <m:sub>
                <m:r>
                  <w:rPr>
                    <w:rFonts w:ascii="Cambria Math" w:hAnsi="Cambria Math"/>
                    <w:sz w:val="20"/>
                  </w:rPr>
                  <m:t>eff</m:t>
                </m:r>
              </m:sub>
              <m:sup>
                <m:r>
                  <w:rPr>
                    <w:rFonts w:ascii="Cambria Math" w:hAnsi="Cambria Math"/>
                    <w:sz w:val="20"/>
                  </w:rPr>
                  <m:t>'</m:t>
                </m:r>
              </m:sup>
            </m:sSubSup>
            <m:r>
              <w:rPr>
                <w:rFonts w:ascii="Cambria Math" w:hAnsi="Cambria Math"/>
                <w:sz w:val="20"/>
              </w:rPr>
              <m:t>=</m:t>
            </m:r>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α</m:t>
                    </m:r>
                  </m:e>
                  <m:sub>
                    <m:r>
                      <w:rPr>
                        <w:rFonts w:ascii="Cambria Math" w:hAnsi="Cambria Math"/>
                        <w:sz w:val="20"/>
                      </w:rPr>
                      <m:t>s</m:t>
                    </m:r>
                  </m:sub>
                </m:sSub>
              </m:num>
              <m:den>
                <m:r>
                  <w:rPr>
                    <w:rFonts w:ascii="Cambria Math" w:hAnsi="Cambria Math"/>
                    <w:sz w:val="20"/>
                  </w:rPr>
                  <m:t>1+</m:t>
                </m:r>
                <m:f>
                  <m:fPr>
                    <m:type m:val="lin"/>
                    <m:ctrlPr>
                      <w:rPr>
                        <w:rFonts w:ascii="Cambria Math" w:hAnsi="Cambria Math"/>
                        <w:i/>
                        <w:sz w:val="20"/>
                      </w:rPr>
                    </m:ctrlPr>
                  </m:fPr>
                  <m:num>
                    <m:sSub>
                      <m:sSubPr>
                        <m:ctrlPr>
                          <w:rPr>
                            <w:rFonts w:ascii="Cambria Math" w:hAnsi="Cambria Math"/>
                            <w:iCs/>
                            <w:sz w:val="20"/>
                          </w:rPr>
                        </m:ctrlPr>
                      </m:sSubPr>
                      <m:e>
                        <m:r>
                          <m:rPr>
                            <m:sty m:val="p"/>
                          </m:rPr>
                          <w:rPr>
                            <w:rFonts w:ascii="Cambria Math" w:hAnsi="Cambria Math"/>
                            <w:sz w:val="20"/>
                          </w:rPr>
                          <m:t>I</m:t>
                        </m:r>
                      </m:e>
                      <m:sub>
                        <m:r>
                          <m:rPr>
                            <m:sty m:val="p"/>
                          </m:rPr>
                          <w:rPr>
                            <w:rFonts w:ascii="Cambria Math" w:hAnsi="Cambria Math"/>
                            <w:sz w:val="20"/>
                          </w:rPr>
                          <m:t>0</m:t>
                        </m:r>
                      </m:sub>
                    </m:sSub>
                  </m:num>
                  <m:den>
                    <m:sSub>
                      <m:sSubPr>
                        <m:ctrlPr>
                          <w:rPr>
                            <w:rFonts w:ascii="Cambria Math" w:hAnsi="Cambria Math"/>
                            <w:iCs/>
                            <w:sz w:val="20"/>
                          </w:rPr>
                        </m:ctrlPr>
                      </m:sSubPr>
                      <m:e>
                        <m:r>
                          <m:rPr>
                            <m:sty m:val="p"/>
                          </m:rPr>
                          <w:rPr>
                            <w:rFonts w:ascii="Cambria Math" w:hAnsi="Cambria Math"/>
                            <w:sz w:val="20"/>
                          </w:rPr>
                          <m:t>I</m:t>
                        </m:r>
                      </m:e>
                      <m:sub>
                        <m:r>
                          <m:rPr>
                            <m:sty m:val="p"/>
                          </m:rPr>
                          <w:rPr>
                            <w:rFonts w:ascii="Cambria Math" w:hAnsi="Cambria Math"/>
                            <w:sz w:val="20"/>
                          </w:rPr>
                          <m:t>sat</m:t>
                        </m:r>
                      </m:sub>
                    </m:sSub>
                  </m:den>
                </m:f>
              </m:den>
            </m:f>
            <m:r>
              <w:rPr>
                <w:rFonts w:ascii="Cambria Math" w:hAnsi="Cambria Math"/>
                <w:sz w:val="20"/>
              </w:rPr>
              <m:t>+</m:t>
            </m:r>
            <m:sSub>
              <m:sSubPr>
                <m:ctrlPr>
                  <w:rPr>
                    <w:rFonts w:ascii="Cambria Math" w:hAnsi="Cambria Math"/>
                    <w:i/>
                    <w:sz w:val="20"/>
                  </w:rPr>
                </m:ctrlPr>
              </m:sSubPr>
              <m:e>
                <m:r>
                  <w:rPr>
                    <w:rFonts w:ascii="Cambria Math" w:hAnsi="Cambria Math"/>
                    <w:sz w:val="20"/>
                  </w:rPr>
                  <m:t>α</m:t>
                </m:r>
              </m:e>
              <m:sub>
                <m:r>
                  <w:rPr>
                    <w:rFonts w:ascii="Cambria Math" w:hAnsi="Cambria Math"/>
                    <w:sz w:val="20"/>
                  </w:rPr>
                  <m:t>ns</m:t>
                </m:r>
              </m:sub>
            </m:sSub>
            <m:r>
              <w:rPr>
                <w:rFonts w:ascii="Cambria Math" w:hAnsi="Cambria Math"/>
                <w:sz w:val="20"/>
              </w:rPr>
              <m:t>#</m:t>
            </m:r>
            <m:d>
              <m:dPr>
                <m:ctrlPr>
                  <w:rPr>
                    <w:rFonts w:ascii="Cambria Math" w:hAnsi="Cambria Math"/>
                    <w:iCs/>
                    <w:sz w:val="20"/>
                  </w:rPr>
                </m:ctrlPr>
              </m:dPr>
              <m:e>
                <m:r>
                  <m:rPr>
                    <m:sty m:val="p"/>
                  </m:rPr>
                  <w:rPr>
                    <w:rFonts w:ascii="Cambria Math" w:hAnsi="Cambria Math"/>
                    <w:sz w:val="20"/>
                  </w:rPr>
                  <m:t>S3</m:t>
                </m:r>
              </m:e>
            </m:d>
          </m:e>
        </m:eqArr>
      </m:oMath>
      <w:r w:rsidR="00474C0F">
        <w:rPr>
          <w:rFonts w:ascii="Times New Roman" w:hAnsi="Times New Roman" w:hint="eastAsia"/>
          <w:sz w:val="20"/>
        </w:rPr>
        <w:t xml:space="preserve"> </w:t>
      </w:r>
      <w:r w:rsidR="00474C0F">
        <w:rPr>
          <w:rFonts w:ascii="Times New Roman" w:hAnsi="Times New Roman"/>
          <w:sz w:val="20"/>
        </w:rPr>
        <w:t xml:space="preserve">                                     </w:t>
      </w:r>
    </w:p>
    <w:p w14:paraId="45B910D0" w14:textId="1C7E4A89" w:rsidR="00474C0F" w:rsidRDefault="00474C0F" w:rsidP="00576D81">
      <w:pPr>
        <w:pStyle w:val="09BodyFirstParagraph"/>
        <w:ind w:firstLineChars="200" w:firstLine="400"/>
      </w:pPr>
      <w:r>
        <w:rPr>
          <w:rFonts w:hint="eastAsia"/>
        </w:rPr>
        <w:t>w</w:t>
      </w:r>
      <w:r>
        <w:t xml:space="preserve">here </w:t>
      </w:r>
      <w:r w:rsidRPr="005758F8">
        <w:rPr>
          <w:i/>
          <w:iCs/>
        </w:rPr>
        <w:t>α</w:t>
      </w:r>
      <w:r w:rsidRPr="005758F8">
        <w:rPr>
          <w:i/>
          <w:iCs/>
          <w:vertAlign w:val="subscript"/>
        </w:rPr>
        <w:t>s</w:t>
      </w:r>
      <w:r>
        <w:t xml:space="preserve"> and </w:t>
      </w:r>
      <w:r w:rsidRPr="005758F8">
        <w:rPr>
          <w:i/>
          <w:iCs/>
        </w:rPr>
        <w:t>α</w:t>
      </w:r>
      <w:r w:rsidRPr="005758F8">
        <w:rPr>
          <w:i/>
          <w:iCs/>
          <w:vertAlign w:val="subscript"/>
        </w:rPr>
        <w:t>ns</w:t>
      </w:r>
      <w:r>
        <w:t xml:space="preserve"> represent saturation loss and unsaturated loss, respectively</w:t>
      </w:r>
      <w:r w:rsidR="005758F8">
        <w:t xml:space="preserve"> </w:t>
      </w:r>
      <w:r w:rsidR="008D2873">
        <w:fldChar w:fldCharType="begin"/>
      </w:r>
      <w:r w:rsidR="005C77FE">
        <w:instrText xml:space="preserve"> ADDIN EN.CITE &lt;EndNote&gt;&lt;Cite&gt;&lt;Author&gt;Zhao&lt;/Author&gt;&lt;Year&gt;2021&lt;/Year&gt;&lt;RecNum&gt;120&lt;/RecNum&gt;&lt;DisplayText&gt;&lt;style face="superscript"&gt;4&lt;/style&gt;&lt;/DisplayText&gt;&lt;record&gt;&lt;rec-number&gt;120&lt;/rec-number&gt;&lt;foreign-keys&gt;&lt;key app="EN" db-id="dezfexv915dafwesxe75rp2f99trfvtsxdw5" timestamp="1643856275" guid="df36ea6e-81fe-4c40-b6ff-f4726522f771"&gt;120&lt;/key&gt;&lt;/foreign-keys&gt;&lt;ref-type name="Journal Article"&gt;17&lt;/ref-type&gt;&lt;contributors&gt;&lt;authors&gt;&lt;author&gt;Zhao, Di&lt;/author&gt;&lt;author&gt;Liu, Yi&lt;/author&gt;&lt;author&gt;Qiu, Jianrong&lt;/author&gt;&lt;author&gt;Liu, Xiaofeng&lt;/author&gt;&lt;/authors&gt;&lt;/contributors&gt;&lt;titles&gt;&lt;title&gt;Plasmonic Saturable Absorbers&lt;/title&gt;&lt;secondary-title&gt;Advanced Photonics Research&lt;/secondary-title&gt;&lt;/titles&gt;&lt;periodical&gt;&lt;full-title&gt;Advanced Photonics Research&lt;/full-title&gt;&lt;/periodical&gt;&lt;volume&gt;2&lt;/volume&gt;&lt;number&gt;8&lt;/number&gt;&lt;section&gt;2100003&lt;/section&gt;&lt;dates&gt;&lt;year&gt;2021&lt;/year&gt;&lt;/dates&gt;&lt;isbn&gt;2699-9293&amp;#xD;2699-9293&lt;/isbn&gt;&lt;urls&gt;&lt;/urls&gt;&lt;electronic-resource-num&gt;10.1002/adpr.202100003&lt;/electronic-resource-num&gt;&lt;/record&gt;&lt;/Cite&gt;&lt;/EndNote&gt;</w:instrText>
      </w:r>
      <w:r w:rsidR="008D2873">
        <w:fldChar w:fldCharType="separate"/>
      </w:r>
      <w:r w:rsidR="005C77FE" w:rsidRPr="005C77FE">
        <w:rPr>
          <w:noProof/>
          <w:vertAlign w:val="superscript"/>
        </w:rPr>
        <w:t>4</w:t>
      </w:r>
      <w:r w:rsidR="008D2873">
        <w:fldChar w:fldCharType="end"/>
      </w:r>
      <w:r>
        <w:t xml:space="preserve">. </w:t>
      </w:r>
      <w:r w:rsidRPr="005758F8">
        <w:rPr>
          <w:i/>
          <w:iCs/>
        </w:rPr>
        <w:t>I</w:t>
      </w:r>
      <w:r w:rsidRPr="005758F8">
        <w:rPr>
          <w:i/>
          <w:iCs/>
          <w:vertAlign w:val="subscript"/>
        </w:rPr>
        <w:t>sat</w:t>
      </w:r>
      <w:r>
        <w:t xml:space="preserve"> is the saturated intensity. Considering the saturation absorption is generally induced by both linear and nonlinear optical effects, then (S3) can be further written as:</w:t>
      </w:r>
    </w:p>
    <w:p w14:paraId="67C6C8E3" w14:textId="77777777" w:rsidR="00474C0F" w:rsidRPr="00FA466F" w:rsidRDefault="00000000" w:rsidP="00474C0F">
      <w:pPr>
        <w:jc w:val="center"/>
        <w:rPr>
          <w:rFonts w:ascii="Times New Roman" w:hAnsi="Times New Roman"/>
          <w:sz w:val="20"/>
        </w:rPr>
      </w:pPr>
      <m:oMath>
        <m:eqArr>
          <m:eqArrPr>
            <m:maxDist m:val="1"/>
            <m:ctrlPr>
              <w:rPr>
                <w:rFonts w:ascii="Cambria Math" w:hAnsi="Cambria Math"/>
                <w:i/>
                <w:sz w:val="20"/>
              </w:rPr>
            </m:ctrlPr>
          </m:eqArrPr>
          <m:e>
            <m:sSubSup>
              <m:sSubSupPr>
                <m:ctrlPr>
                  <w:rPr>
                    <w:rFonts w:ascii="Cambria Math" w:hAnsi="Cambria Math"/>
                    <w:i/>
                    <w:sz w:val="20"/>
                  </w:rPr>
                </m:ctrlPr>
              </m:sSubSupPr>
              <m:e>
                <m:r>
                  <w:rPr>
                    <w:rFonts w:ascii="Cambria Math" w:hAnsi="Cambria Math"/>
                    <w:sz w:val="20"/>
                  </w:rPr>
                  <m:t>α</m:t>
                </m:r>
              </m:e>
              <m:sub>
                <m:r>
                  <w:rPr>
                    <w:rFonts w:ascii="Cambria Math" w:hAnsi="Cambria Math"/>
                    <w:sz w:val="20"/>
                  </w:rPr>
                  <m:t>eff</m:t>
                </m:r>
              </m:sub>
              <m:sup>
                <m:r>
                  <w:rPr>
                    <w:rFonts w:ascii="Cambria Math" w:hAnsi="Cambria Math"/>
                    <w:sz w:val="20"/>
                  </w:rPr>
                  <m:t>'</m:t>
                </m:r>
              </m:sup>
            </m:sSubSup>
            <m:d>
              <m:dPr>
                <m:ctrlPr>
                  <w:rPr>
                    <w:rFonts w:ascii="Cambria Math" w:hAnsi="Cambria Math"/>
                    <w:i/>
                    <w:sz w:val="20"/>
                  </w:rPr>
                </m:ctrlPr>
              </m:dPr>
              <m:e>
                <m:sSub>
                  <m:sSubPr>
                    <m:ctrlPr>
                      <w:rPr>
                        <w:rFonts w:ascii="Cambria Math" w:hAnsi="Cambria Math"/>
                        <w:iCs/>
                        <w:sz w:val="20"/>
                      </w:rPr>
                    </m:ctrlPr>
                  </m:sSubPr>
                  <m:e>
                    <m:r>
                      <m:rPr>
                        <m:sty m:val="p"/>
                      </m:rPr>
                      <w:rPr>
                        <w:rFonts w:ascii="Cambria Math" w:hAnsi="Cambria Math"/>
                        <w:sz w:val="20"/>
                      </w:rPr>
                      <m:t>I</m:t>
                    </m:r>
                  </m:e>
                  <m:sub>
                    <m:r>
                      <m:rPr>
                        <m:sty m:val="p"/>
                      </m:rPr>
                      <w:rPr>
                        <w:rFonts w:ascii="Cambria Math" w:hAnsi="Cambria Math"/>
                        <w:sz w:val="20"/>
                      </w:rPr>
                      <m:t>0</m:t>
                    </m:r>
                  </m:sub>
                </m:sSub>
              </m:e>
            </m:d>
            <m:r>
              <w:rPr>
                <w:rFonts w:ascii="Cambria Math" w:hAnsi="Cambria Math"/>
                <w:sz w:val="20"/>
              </w:rPr>
              <m:t>=</m:t>
            </m:r>
            <m:f>
              <m:fPr>
                <m:ctrlPr>
                  <w:rPr>
                    <w:rFonts w:ascii="Cambria Math" w:hAnsi="Cambria Math"/>
                    <w:i/>
                    <w:sz w:val="20"/>
                  </w:rPr>
                </m:ctrlPr>
              </m:fPr>
              <m:num>
                <m:sSub>
                  <m:sSubPr>
                    <m:ctrlPr>
                      <w:rPr>
                        <w:rFonts w:ascii="Cambria Math" w:hAnsi="Cambria Math"/>
                        <w:sz w:val="20"/>
                      </w:rPr>
                    </m:ctrlPr>
                  </m:sSubPr>
                  <m:e>
                    <m:r>
                      <w:rPr>
                        <w:rFonts w:ascii="Cambria Math" w:hAnsi="Cambria Math"/>
                        <w:sz w:val="20"/>
                      </w:rPr>
                      <m:t>α</m:t>
                    </m:r>
                  </m:e>
                  <m:sub>
                    <m:r>
                      <w:rPr>
                        <w:rFonts w:ascii="Cambria Math" w:hAnsi="Cambria Math"/>
                        <w:sz w:val="20"/>
                      </w:rPr>
                      <m:t>0</m:t>
                    </m:r>
                  </m:sub>
                </m:sSub>
                <m:r>
                  <m:rPr>
                    <m:sty m:val="p"/>
                  </m:rPr>
                  <w:rPr>
                    <w:rFonts w:ascii="Cambria Math" w:hAnsi="Cambria Math"/>
                    <w:sz w:val="20"/>
                  </w:rPr>
                  <m:t>+</m:t>
                </m:r>
                <m:r>
                  <w:rPr>
                    <w:rFonts w:ascii="Cambria Math" w:hAnsi="Cambria Math"/>
                    <w:sz w:val="20"/>
                  </w:rPr>
                  <m:t>β</m:t>
                </m:r>
                <m:sSub>
                  <m:sSubPr>
                    <m:ctrlPr>
                      <w:rPr>
                        <w:rFonts w:ascii="Cambria Math" w:hAnsi="Cambria Math"/>
                        <w:sz w:val="20"/>
                      </w:rPr>
                    </m:ctrlPr>
                  </m:sSubPr>
                  <m:e>
                    <m:r>
                      <w:rPr>
                        <w:rFonts w:ascii="Cambria Math" w:hAnsi="Cambria Math"/>
                        <w:sz w:val="20"/>
                      </w:rPr>
                      <m:t>I</m:t>
                    </m:r>
                  </m:e>
                  <m:sub>
                    <m:r>
                      <w:rPr>
                        <w:rFonts w:ascii="Cambria Math" w:hAnsi="Cambria Math"/>
                        <w:sz w:val="20"/>
                      </w:rPr>
                      <m:t>0</m:t>
                    </m:r>
                  </m:sub>
                </m:sSub>
                <m:r>
                  <w:rPr>
                    <w:rFonts w:ascii="Cambria Math" w:hAnsi="Cambria Math"/>
                    <w:sz w:val="20"/>
                  </w:rPr>
                  <m:t>+γ</m:t>
                </m:r>
                <m:sSubSup>
                  <m:sSubSupPr>
                    <m:ctrlPr>
                      <w:rPr>
                        <w:rFonts w:ascii="Cambria Math" w:hAnsi="Cambria Math"/>
                        <w:i/>
                        <w:sz w:val="20"/>
                      </w:rPr>
                    </m:ctrlPr>
                  </m:sSubSupPr>
                  <m:e>
                    <m:r>
                      <w:rPr>
                        <w:rFonts w:ascii="Cambria Math" w:hAnsi="Cambria Math"/>
                        <w:sz w:val="20"/>
                      </w:rPr>
                      <m:t>I</m:t>
                    </m:r>
                  </m:e>
                  <m:sub>
                    <m:r>
                      <w:rPr>
                        <w:rFonts w:ascii="Cambria Math" w:hAnsi="Cambria Math"/>
                        <w:sz w:val="20"/>
                      </w:rPr>
                      <m:t>0</m:t>
                    </m:r>
                  </m:sub>
                  <m:sup>
                    <m:r>
                      <w:rPr>
                        <w:rFonts w:ascii="Cambria Math" w:hAnsi="Cambria Math"/>
                        <w:sz w:val="20"/>
                      </w:rPr>
                      <m:t>2</m:t>
                    </m:r>
                  </m:sup>
                </m:sSubSup>
                <m:r>
                  <w:rPr>
                    <w:rFonts w:ascii="Cambria Math" w:hAnsi="Cambria Math"/>
                    <w:sz w:val="20"/>
                  </w:rPr>
                  <m:t>+O</m:t>
                </m:r>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I</m:t>
                        </m:r>
                      </m:e>
                      <m:sub>
                        <m:r>
                          <w:rPr>
                            <w:rFonts w:ascii="Cambria Math" w:hAnsi="Cambria Math"/>
                            <w:sz w:val="20"/>
                          </w:rPr>
                          <m:t>0</m:t>
                        </m:r>
                      </m:sub>
                      <m:sup>
                        <m:r>
                          <w:rPr>
                            <w:rFonts w:ascii="Cambria Math" w:hAnsi="Cambria Math"/>
                            <w:sz w:val="20"/>
                          </w:rPr>
                          <m:t>3</m:t>
                        </m:r>
                      </m:sup>
                    </m:sSubSup>
                  </m:e>
                </m:d>
              </m:num>
              <m:den>
                <m:r>
                  <w:rPr>
                    <w:rFonts w:ascii="Cambria Math" w:hAnsi="Cambria Math"/>
                    <w:sz w:val="20"/>
                  </w:rPr>
                  <m:t>1+</m:t>
                </m:r>
                <m:f>
                  <m:fPr>
                    <m:type m:val="lin"/>
                    <m:ctrlPr>
                      <w:rPr>
                        <w:rFonts w:ascii="Cambria Math" w:hAnsi="Cambria Math"/>
                        <w:i/>
                        <w:sz w:val="20"/>
                      </w:rPr>
                    </m:ctrlPr>
                  </m:fPr>
                  <m:num>
                    <m:sSub>
                      <m:sSubPr>
                        <m:ctrlPr>
                          <w:rPr>
                            <w:rFonts w:ascii="Cambria Math" w:hAnsi="Cambria Math"/>
                            <w:iCs/>
                            <w:sz w:val="20"/>
                          </w:rPr>
                        </m:ctrlPr>
                      </m:sSubPr>
                      <m:e>
                        <m:r>
                          <m:rPr>
                            <m:sty m:val="p"/>
                          </m:rPr>
                          <w:rPr>
                            <w:rFonts w:ascii="Cambria Math" w:hAnsi="Cambria Math"/>
                            <w:sz w:val="20"/>
                          </w:rPr>
                          <m:t>I</m:t>
                        </m:r>
                      </m:e>
                      <m:sub>
                        <m:r>
                          <m:rPr>
                            <m:sty m:val="p"/>
                          </m:rPr>
                          <w:rPr>
                            <w:rFonts w:ascii="Cambria Math" w:hAnsi="Cambria Math"/>
                            <w:sz w:val="20"/>
                          </w:rPr>
                          <m:t>0</m:t>
                        </m:r>
                      </m:sub>
                    </m:sSub>
                  </m:num>
                  <m:den>
                    <m:sSub>
                      <m:sSubPr>
                        <m:ctrlPr>
                          <w:rPr>
                            <w:rFonts w:ascii="Cambria Math" w:hAnsi="Cambria Math"/>
                            <w:iCs/>
                            <w:sz w:val="20"/>
                          </w:rPr>
                        </m:ctrlPr>
                      </m:sSubPr>
                      <m:e>
                        <m:r>
                          <m:rPr>
                            <m:sty m:val="p"/>
                          </m:rPr>
                          <w:rPr>
                            <w:rFonts w:ascii="Cambria Math" w:hAnsi="Cambria Math"/>
                            <w:sz w:val="20"/>
                          </w:rPr>
                          <m:t>I</m:t>
                        </m:r>
                      </m:e>
                      <m:sub>
                        <m:r>
                          <m:rPr>
                            <m:sty m:val="p"/>
                          </m:rPr>
                          <w:rPr>
                            <w:rFonts w:ascii="Cambria Math" w:hAnsi="Cambria Math"/>
                            <w:sz w:val="20"/>
                          </w:rPr>
                          <m:t>sat</m:t>
                        </m:r>
                      </m:sub>
                    </m:sSub>
                  </m:den>
                </m:f>
              </m:den>
            </m:f>
            <m:r>
              <w:rPr>
                <w:rFonts w:ascii="Cambria Math" w:hAnsi="Cambria Math"/>
                <w:sz w:val="20"/>
              </w:rPr>
              <m:t>+</m:t>
            </m:r>
            <m:sSub>
              <m:sSubPr>
                <m:ctrlPr>
                  <w:rPr>
                    <w:rFonts w:ascii="Cambria Math" w:hAnsi="Cambria Math"/>
                    <w:i/>
                    <w:sz w:val="20"/>
                  </w:rPr>
                </m:ctrlPr>
              </m:sSubPr>
              <m:e>
                <m:r>
                  <w:rPr>
                    <w:rFonts w:ascii="Cambria Math" w:hAnsi="Cambria Math"/>
                    <w:sz w:val="20"/>
                  </w:rPr>
                  <m:t>α</m:t>
                </m:r>
              </m:e>
              <m:sub>
                <m:r>
                  <w:rPr>
                    <w:rFonts w:ascii="Cambria Math" w:hAnsi="Cambria Math"/>
                    <w:sz w:val="20"/>
                  </w:rPr>
                  <m:t>ns</m:t>
                </m:r>
              </m:sub>
            </m:sSub>
            <m:r>
              <w:rPr>
                <w:rFonts w:ascii="Cambria Math" w:hAnsi="Cambria Math"/>
                <w:sz w:val="20"/>
              </w:rPr>
              <m:t>#</m:t>
            </m:r>
            <m:d>
              <m:dPr>
                <m:ctrlPr>
                  <w:rPr>
                    <w:rFonts w:ascii="Cambria Math" w:hAnsi="Cambria Math"/>
                    <w:iCs/>
                    <w:sz w:val="20"/>
                  </w:rPr>
                </m:ctrlPr>
              </m:dPr>
              <m:e>
                <m:r>
                  <m:rPr>
                    <m:sty m:val="p"/>
                  </m:rPr>
                  <w:rPr>
                    <w:rFonts w:ascii="Cambria Math" w:hAnsi="Cambria Math"/>
                    <w:sz w:val="20"/>
                  </w:rPr>
                  <m:t>S4</m:t>
                </m:r>
              </m:e>
            </m:d>
          </m:e>
        </m:eqArr>
      </m:oMath>
      <w:r w:rsidR="00474C0F">
        <w:rPr>
          <w:rFonts w:ascii="Times New Roman" w:hAnsi="Times New Roman"/>
          <w:sz w:val="20"/>
        </w:rPr>
        <w:t xml:space="preserve">                   </w:t>
      </w:r>
    </w:p>
    <w:p w14:paraId="501597B0" w14:textId="77777777" w:rsidR="00474C0F" w:rsidRDefault="00474C0F" w:rsidP="00576D81">
      <w:pPr>
        <w:pStyle w:val="09BodyFirstParagraph"/>
        <w:ind w:firstLineChars="200" w:firstLine="400"/>
      </w:pPr>
      <w:r>
        <w:t>Universal intensity-dependent optical absorptions (transmissions) could be basically described by a generalized Fermi-Dirac (sigmoid) function combining both the unsaturation and saturation absorption processes:</w:t>
      </w:r>
    </w:p>
    <w:p w14:paraId="5E937241" w14:textId="066BEB93" w:rsidR="005758F8" w:rsidRPr="005758F8" w:rsidRDefault="00000000" w:rsidP="005758F8">
      <w:pPr>
        <w:jc w:val="center"/>
        <w:rPr>
          <w:rFonts w:ascii="Times New Roman" w:hAnsi="Times New Roman"/>
          <w:sz w:val="20"/>
        </w:rPr>
      </w:pPr>
      <m:oMath>
        <m:eqArr>
          <m:eqArrPr>
            <m:maxDist m:val="1"/>
            <m:ctrlPr>
              <w:rPr>
                <w:rFonts w:ascii="Cambria Math" w:hAnsi="Cambria Math"/>
                <w:i/>
                <w:sz w:val="20"/>
              </w:rPr>
            </m:ctrlPr>
          </m:eqArrPr>
          <m:e>
            <m:r>
              <w:rPr>
                <w:rFonts w:ascii="Cambria Math" w:hAnsi="Cambria Math"/>
                <w:sz w:val="20"/>
              </w:rPr>
              <m:t>T</m:t>
            </m:r>
            <m:d>
              <m:dPr>
                <m:ctrlPr>
                  <w:rPr>
                    <w:rFonts w:ascii="Cambria Math" w:hAnsi="Cambria Math"/>
                    <w:i/>
                    <w:sz w:val="20"/>
                  </w:rPr>
                </m:ctrlPr>
              </m:dPr>
              <m:e>
                <m:r>
                  <w:rPr>
                    <w:rFonts w:ascii="Cambria Math" w:hAnsi="Cambria Math"/>
                    <w:sz w:val="20"/>
                  </w:rPr>
                  <m:t>x</m:t>
                </m:r>
              </m:e>
            </m:d>
            <m:r>
              <w:rPr>
                <w:rFonts w:ascii="Cambria Math" w:hAnsi="Cambria Math"/>
                <w:sz w:val="20"/>
              </w:rPr>
              <m:t>=a+</m:t>
            </m:r>
            <m:f>
              <m:fPr>
                <m:ctrlPr>
                  <w:rPr>
                    <w:rFonts w:ascii="Cambria Math" w:hAnsi="Cambria Math"/>
                    <w:i/>
                    <w:sz w:val="20"/>
                  </w:rPr>
                </m:ctrlPr>
              </m:fPr>
              <m:num>
                <m:r>
                  <w:rPr>
                    <w:rFonts w:ascii="Cambria Math" w:hAnsi="Cambria Math"/>
                    <w:sz w:val="20"/>
                  </w:rPr>
                  <m:t>b</m:t>
                </m:r>
              </m:num>
              <m:den>
                <m:r>
                  <w:rPr>
                    <w:rFonts w:ascii="Cambria Math" w:hAnsi="Cambria Math"/>
                    <w:sz w:val="20"/>
                  </w:rPr>
                  <m:t>1+c∙</m:t>
                </m:r>
                <m:sSup>
                  <m:sSupPr>
                    <m:ctrlPr>
                      <w:rPr>
                        <w:rFonts w:ascii="Cambria Math" w:hAnsi="Cambria Math"/>
                        <w:i/>
                        <w:sz w:val="20"/>
                      </w:rPr>
                    </m:ctrlPr>
                  </m:sSupPr>
                  <m:e>
                    <m:r>
                      <w:rPr>
                        <w:rFonts w:ascii="Cambria Math" w:hAnsi="Cambria Math"/>
                        <w:sz w:val="20"/>
                      </w:rPr>
                      <m:t>e</m:t>
                    </m:r>
                  </m:e>
                  <m:sup>
                    <m:r>
                      <w:rPr>
                        <w:rFonts w:ascii="Cambria Math" w:hAnsi="Cambria Math"/>
                        <w:sz w:val="20"/>
                      </w:rPr>
                      <m:t>-dx</m:t>
                    </m:r>
                  </m:sup>
                </m:sSup>
              </m:den>
            </m:f>
            <m:r>
              <w:rPr>
                <w:rFonts w:ascii="Cambria Math" w:hAnsi="Cambria Math"/>
                <w:sz w:val="20"/>
              </w:rPr>
              <m:t>#</m:t>
            </m:r>
            <m:d>
              <m:dPr>
                <m:ctrlPr>
                  <w:rPr>
                    <w:rFonts w:ascii="Cambria Math" w:hAnsi="Cambria Math"/>
                    <w:i/>
                    <w:sz w:val="20"/>
                  </w:rPr>
                </m:ctrlPr>
              </m:dPr>
              <m:e>
                <m:r>
                  <w:rPr>
                    <w:rFonts w:ascii="Cambria Math" w:hAnsi="Cambria Math"/>
                    <w:sz w:val="20"/>
                  </w:rPr>
                  <m:t>S5</m:t>
                </m:r>
              </m:e>
            </m:d>
          </m:e>
        </m:eqArr>
      </m:oMath>
      <w:r w:rsidR="005758F8">
        <w:rPr>
          <w:rFonts w:ascii="Times New Roman" w:hAnsi="Times New Roman"/>
          <w:sz w:val="20"/>
          <w:lang w:eastAsia="zh-CN"/>
        </w:rPr>
        <w:t xml:space="preserve"> </w:t>
      </w:r>
    </w:p>
    <w:p w14:paraId="0EF87A2B" w14:textId="320230CB" w:rsidR="00474C0F" w:rsidRPr="00092CAF" w:rsidRDefault="00474C0F" w:rsidP="00576D81">
      <w:pPr>
        <w:pStyle w:val="09BodyFirstParagraph"/>
        <w:ind w:firstLineChars="200" w:firstLine="400"/>
      </w:pPr>
      <w:r>
        <w:t xml:space="preserve">The motivation mainly </w:t>
      </w:r>
      <w:r>
        <w:rPr>
          <w:rFonts w:hint="eastAsia"/>
        </w:rPr>
        <w:t>or</w:t>
      </w:r>
      <w:r>
        <w:t xml:space="preserve">igins from the fact that a generalized Fermi-Dirac function is </w:t>
      </w:r>
      <w:r w:rsidRPr="0042727C">
        <w:t>mathematically</w:t>
      </w:r>
      <w:r>
        <w:t xml:space="preserve"> equivalent to expression (S4) but offers straightforward characteristic parameters for saturation absorption, including linear absorption coefficient, saturated intensity and modulation depth.</w:t>
      </w:r>
      <w:r>
        <w:rPr>
          <w:rFonts w:hint="eastAsia"/>
        </w:rPr>
        <w:t xml:space="preserve"> </w:t>
      </w:r>
      <w:r>
        <w:t>Indeed, as shown in Fig. S</w:t>
      </w:r>
      <w:r w:rsidR="008904A5">
        <w:t>7</w:t>
      </w:r>
      <w:r>
        <w:t>, the experimental transmission spectrum (opened stars) is fitted with the function (S5)</w:t>
      </w:r>
      <w:r w:rsidRPr="000013B7">
        <w:t xml:space="preserve"> </w:t>
      </w:r>
      <w:r>
        <w:t xml:space="preserve">(dashed cyan curve). The linear transmission level </w:t>
      </w:r>
      <w:r w:rsidRPr="005758F8">
        <w:rPr>
          <w:i/>
          <w:iCs/>
        </w:rPr>
        <w:t>T</w:t>
      </w:r>
      <w:r w:rsidRPr="005758F8">
        <w:rPr>
          <w:i/>
          <w:iCs/>
          <w:vertAlign w:val="subscript"/>
        </w:rPr>
        <w:t>l</w:t>
      </w:r>
      <w:r w:rsidRPr="005758F8">
        <w:rPr>
          <w:i/>
          <w:iCs/>
        </w:rPr>
        <w:t xml:space="preserve"> </w:t>
      </w:r>
      <w:r>
        <w:t xml:space="preserve">and the modulation depth </w:t>
      </w:r>
      <w:r w:rsidRPr="005758F8">
        <w:rPr>
          <w:i/>
          <w:iCs/>
        </w:rPr>
        <w:t>M</w:t>
      </w:r>
      <w:r w:rsidRPr="005758F8">
        <w:rPr>
          <w:i/>
          <w:iCs/>
          <w:vertAlign w:val="subscript"/>
        </w:rPr>
        <w:t>d</w:t>
      </w:r>
      <w:r w:rsidRPr="005758F8">
        <w:rPr>
          <w:i/>
          <w:iCs/>
        </w:rPr>
        <w:t xml:space="preserve"> </w:t>
      </w:r>
      <w:r>
        <w:t xml:space="preserve">can be extracted directly from the parameters of </w:t>
      </w:r>
      <w:r w:rsidRPr="005758F8">
        <w:rPr>
          <w:i/>
          <w:iCs/>
        </w:rPr>
        <w:t>a</w:t>
      </w:r>
      <w:r>
        <w:t xml:space="preserve"> and </w:t>
      </w:r>
      <w:r w:rsidRPr="005758F8">
        <w:rPr>
          <w:i/>
          <w:iCs/>
        </w:rPr>
        <w:t>b</w:t>
      </w:r>
      <w:r>
        <w:t xml:space="preserve">, respectively. The saturation power </w:t>
      </w:r>
      <w:r w:rsidRPr="005758F8">
        <w:rPr>
          <w:i/>
          <w:iCs/>
        </w:rPr>
        <w:t>P</w:t>
      </w:r>
      <w:r w:rsidRPr="005758F8">
        <w:rPr>
          <w:i/>
          <w:iCs/>
          <w:vertAlign w:val="subscript"/>
        </w:rPr>
        <w:t>sat</w:t>
      </w:r>
      <w:r w:rsidRPr="005758F8">
        <w:rPr>
          <w:i/>
          <w:iCs/>
        </w:rPr>
        <w:t xml:space="preserve"> </w:t>
      </w:r>
      <w:r>
        <w:t xml:space="preserve">corresponds to the transmission level </w:t>
      </w:r>
      <w:r w:rsidRPr="005758F8">
        <w:rPr>
          <w:i/>
          <w:iCs/>
        </w:rPr>
        <w:t>T</w:t>
      </w:r>
      <w:r w:rsidRPr="005758F8">
        <w:rPr>
          <w:i/>
          <w:iCs/>
          <w:vertAlign w:val="subscript"/>
        </w:rPr>
        <w:t>sat</w:t>
      </w:r>
      <w:r w:rsidR="000021AA">
        <w:rPr>
          <w:i/>
          <w:iCs/>
          <w:vertAlign w:val="subscript"/>
        </w:rPr>
        <w:t xml:space="preserve"> </w:t>
      </w:r>
      <w:r>
        <w:t>=</w:t>
      </w:r>
      <w:r w:rsidR="000021AA">
        <w:t xml:space="preserve"> </w:t>
      </w:r>
      <w:r w:rsidRPr="005758F8">
        <w:rPr>
          <w:i/>
          <w:iCs/>
        </w:rPr>
        <w:t>T</w:t>
      </w:r>
      <w:r w:rsidRPr="005758F8">
        <w:rPr>
          <w:i/>
          <w:iCs/>
          <w:vertAlign w:val="subscript"/>
        </w:rPr>
        <w:t>l</w:t>
      </w:r>
      <w:r w:rsidRPr="000013B7">
        <w:t>+</w:t>
      </w:r>
      <w:r w:rsidRPr="005758F8">
        <w:rPr>
          <w:i/>
          <w:iCs/>
        </w:rPr>
        <w:t>M</w:t>
      </w:r>
      <w:r w:rsidRPr="005758F8">
        <w:rPr>
          <w:i/>
          <w:iCs/>
          <w:vertAlign w:val="subscript"/>
        </w:rPr>
        <w:t>d</w:t>
      </w:r>
      <w:r w:rsidRPr="007838C9">
        <w:t xml:space="preserve">/2 </w:t>
      </w:r>
      <w:r>
        <w:t xml:space="preserve">and unsaturated transmission is obtained by </w:t>
      </w:r>
      <w:r w:rsidRPr="007838C9">
        <w:t>(1</w:t>
      </w:r>
      <w:r w:rsidRPr="000013B7">
        <w:t>-</w:t>
      </w:r>
      <w:r w:rsidRPr="005758F8">
        <w:rPr>
          <w:i/>
          <w:iCs/>
        </w:rPr>
        <w:t>T</w:t>
      </w:r>
      <w:r w:rsidRPr="005758F8">
        <w:rPr>
          <w:i/>
          <w:iCs/>
          <w:vertAlign w:val="subscript"/>
        </w:rPr>
        <w:t>l</w:t>
      </w:r>
      <w:r w:rsidRPr="000013B7">
        <w:t>-</w:t>
      </w:r>
      <w:r w:rsidRPr="005758F8">
        <w:rPr>
          <w:i/>
          <w:iCs/>
        </w:rPr>
        <w:t>M</w:t>
      </w:r>
      <w:r w:rsidRPr="005758F8">
        <w:rPr>
          <w:i/>
          <w:iCs/>
          <w:vertAlign w:val="subscript"/>
        </w:rPr>
        <w:t>d</w:t>
      </w:r>
      <w:r w:rsidRPr="007838C9">
        <w:t>)</w:t>
      </w:r>
      <w:r>
        <w:t>.</w:t>
      </w:r>
    </w:p>
    <w:p w14:paraId="6D7383FB" w14:textId="77777777" w:rsidR="00474C0F" w:rsidRDefault="00474C0F" w:rsidP="00CD3D08">
      <w:pPr>
        <w:spacing w:before="120" w:after="0"/>
        <w:jc w:val="center"/>
        <w:rPr>
          <w:rFonts w:ascii="Times New Roman" w:hAnsi="Times New Roman"/>
          <w:sz w:val="20"/>
        </w:rPr>
      </w:pPr>
      <w:r>
        <w:rPr>
          <w:rFonts w:ascii="Times New Roman" w:hAnsi="Times New Roman"/>
          <w:noProof/>
          <w:sz w:val="20"/>
        </w:rPr>
        <w:lastRenderedPageBreak/>
        <w:drawing>
          <wp:inline distT="0" distB="0" distL="0" distR="0" wp14:anchorId="511AE4D6" wp14:editId="2C0C32AC">
            <wp:extent cx="3174550" cy="2489703"/>
            <wp:effectExtent l="0" t="0" r="6985"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7996" cy="2500248"/>
                    </a:xfrm>
                    <a:prstGeom prst="rect">
                      <a:avLst/>
                    </a:prstGeom>
                  </pic:spPr>
                </pic:pic>
              </a:graphicData>
            </a:graphic>
          </wp:inline>
        </w:drawing>
      </w:r>
    </w:p>
    <w:p w14:paraId="039B3584" w14:textId="14259774" w:rsidR="00474C0F" w:rsidRPr="00A32E35" w:rsidRDefault="00474C0F" w:rsidP="00A32E35">
      <w:pPr>
        <w:pStyle w:val="12FigureCaptionShort"/>
        <w:rPr>
          <w:rFonts w:ascii="Arial" w:hAnsi="Arial" w:cs="Arial"/>
        </w:rPr>
      </w:pPr>
      <w:r w:rsidRPr="00A32E35">
        <w:rPr>
          <w:rFonts w:ascii="Arial" w:hAnsi="Arial" w:cs="Arial" w:hint="eastAsia"/>
        </w:rPr>
        <w:t>F</w:t>
      </w:r>
      <w:r w:rsidRPr="00A32E35">
        <w:rPr>
          <w:rFonts w:ascii="Arial" w:hAnsi="Arial" w:cs="Arial"/>
        </w:rPr>
        <w:t>ig</w:t>
      </w:r>
      <w:r w:rsidR="00CD3D08" w:rsidRPr="00A32E35">
        <w:rPr>
          <w:rFonts w:ascii="Arial" w:hAnsi="Arial" w:cs="Arial"/>
        </w:rPr>
        <w:t>.</w:t>
      </w:r>
      <w:r w:rsidRPr="00A32E35">
        <w:rPr>
          <w:rFonts w:ascii="Arial" w:hAnsi="Arial" w:cs="Arial"/>
        </w:rPr>
        <w:t xml:space="preserve"> S</w:t>
      </w:r>
      <w:r w:rsidR="008904A5" w:rsidRPr="00A32E35">
        <w:rPr>
          <w:rFonts w:ascii="Arial" w:hAnsi="Arial" w:cs="Arial"/>
        </w:rPr>
        <w:t>7</w:t>
      </w:r>
      <w:r w:rsidRPr="00A32E35">
        <w:rPr>
          <w:rFonts w:ascii="Arial" w:hAnsi="Arial" w:cs="Arial"/>
        </w:rPr>
        <w:t>. Nonlinear transmission spectrum and the numerical fitting</w:t>
      </w:r>
    </w:p>
    <w:p w14:paraId="7460A9D8" w14:textId="77777777" w:rsidR="00474C0F" w:rsidRDefault="00474C0F" w:rsidP="00576D81">
      <w:pPr>
        <w:pStyle w:val="09BodyFirstParagraph"/>
        <w:ind w:firstLineChars="200" w:firstLine="400"/>
      </w:pPr>
      <w:r>
        <w:rPr>
          <w:rFonts w:hint="eastAsia"/>
        </w:rPr>
        <w:t>H</w:t>
      </w:r>
      <w:r>
        <w:t xml:space="preserve">ere below we explain the reason why a generalized Fermi-Dirac function is </w:t>
      </w:r>
      <w:r w:rsidRPr="0042727C">
        <w:t>mathematically</w:t>
      </w:r>
      <w:r>
        <w:t xml:space="preserve"> equivalent to the expression (S4).</w:t>
      </w:r>
    </w:p>
    <w:p w14:paraId="3B60B9B5" w14:textId="77777777" w:rsidR="00474C0F" w:rsidRDefault="00474C0F" w:rsidP="00576D81">
      <w:pPr>
        <w:pStyle w:val="09BodyFirstParagraph"/>
        <w:ind w:firstLineChars="200" w:firstLine="400"/>
      </w:pPr>
      <w:r>
        <w:t xml:space="preserve">First, </w:t>
      </w:r>
      <w:r>
        <w:rPr>
          <w:rFonts w:hint="eastAsia"/>
        </w:rPr>
        <w:t>(</w:t>
      </w:r>
      <w:r>
        <w:t>S4) can be expressed as:</w:t>
      </w:r>
    </w:p>
    <w:p w14:paraId="08C12083" w14:textId="77777777" w:rsidR="00474C0F" w:rsidRDefault="00000000" w:rsidP="00474C0F">
      <w:pPr>
        <w:ind w:firstLineChars="200" w:firstLine="400"/>
        <w:jc w:val="center"/>
        <w:rPr>
          <w:rFonts w:ascii="Times New Roman" w:hAnsi="Times New Roman"/>
          <w:sz w:val="20"/>
        </w:rPr>
      </w:pPr>
      <m:oMath>
        <m:sSubSup>
          <m:sSubSupPr>
            <m:ctrlPr>
              <w:rPr>
                <w:rFonts w:ascii="Cambria Math" w:hAnsi="Cambria Math"/>
                <w:i/>
                <w:sz w:val="20"/>
              </w:rPr>
            </m:ctrlPr>
          </m:sSubSupPr>
          <m:e>
            <m:r>
              <w:rPr>
                <w:rFonts w:ascii="Cambria Math" w:hAnsi="Cambria Math"/>
                <w:sz w:val="20"/>
              </w:rPr>
              <m:t>α</m:t>
            </m:r>
          </m:e>
          <m:sub>
            <m:r>
              <w:rPr>
                <w:rFonts w:ascii="Cambria Math" w:hAnsi="Cambria Math"/>
                <w:sz w:val="20"/>
              </w:rPr>
              <m:t>eff</m:t>
            </m:r>
          </m:sub>
          <m:sup>
            <m:r>
              <w:rPr>
                <w:rFonts w:ascii="Cambria Math" w:hAnsi="Cambria Math"/>
                <w:sz w:val="20"/>
              </w:rPr>
              <m:t>'</m:t>
            </m:r>
          </m:sup>
        </m:sSubSup>
        <m:d>
          <m:dPr>
            <m:ctrlPr>
              <w:rPr>
                <w:rFonts w:ascii="Cambria Math" w:hAnsi="Cambria Math"/>
                <w:i/>
                <w:sz w:val="20"/>
              </w:rPr>
            </m:ctrlPr>
          </m:dPr>
          <m:e>
            <m:r>
              <w:rPr>
                <w:rFonts w:ascii="Cambria Math" w:hAnsi="Cambria Math"/>
                <w:sz w:val="20"/>
              </w:rPr>
              <m:t>x</m:t>
            </m:r>
          </m:e>
        </m:d>
        <m:r>
          <w:rPr>
            <w:rFonts w:ascii="Cambria Math" w:hAnsi="Cambria Math"/>
            <w:sz w:val="20"/>
          </w:rPr>
          <m:t>=</m:t>
        </m:r>
        <m:f>
          <m:fPr>
            <m:ctrlPr>
              <w:rPr>
                <w:rFonts w:ascii="Cambria Math" w:hAnsi="Cambria Math"/>
                <w:i/>
                <w:sz w:val="20"/>
              </w:rPr>
            </m:ctrlPr>
          </m:fPr>
          <m:num>
            <m:r>
              <w:rPr>
                <w:rFonts w:ascii="Cambria Math" w:hAnsi="Cambria Math"/>
                <w:sz w:val="20"/>
              </w:rPr>
              <m:t>1</m:t>
            </m:r>
          </m:num>
          <m:den>
            <m:r>
              <w:rPr>
                <w:rFonts w:ascii="Cambria Math" w:hAnsi="Cambria Math"/>
                <w:sz w:val="20"/>
              </w:rPr>
              <m:t>1+x</m:t>
            </m:r>
          </m:den>
        </m:f>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α</m:t>
                </m:r>
              </m:e>
              <m:sub>
                <m:r>
                  <w:rPr>
                    <w:rFonts w:ascii="Cambria Math" w:hAnsi="Cambria Math"/>
                    <w:sz w:val="20"/>
                  </w:rPr>
                  <m:t>0</m:t>
                </m:r>
              </m:sub>
              <m:sup>
                <m:r>
                  <w:rPr>
                    <w:rFonts w:ascii="Cambria Math" w:hAnsi="Cambria Math"/>
                    <w:sz w:val="20"/>
                  </w:rPr>
                  <m:t>'</m:t>
                </m:r>
              </m:sup>
            </m:sSubSup>
            <m:r>
              <w:rPr>
                <w:rFonts w:ascii="Cambria Math" w:hAnsi="Cambria Math"/>
                <w:sz w:val="20"/>
              </w:rPr>
              <m:t>+</m:t>
            </m:r>
            <m:sSup>
              <m:sSupPr>
                <m:ctrlPr>
                  <w:rPr>
                    <w:rFonts w:ascii="Cambria Math" w:hAnsi="Cambria Math"/>
                    <w:i/>
                    <w:sz w:val="20"/>
                  </w:rPr>
                </m:ctrlPr>
              </m:sSupPr>
              <m:e>
                <m:r>
                  <w:rPr>
                    <w:rFonts w:ascii="Cambria Math" w:hAnsi="Cambria Math"/>
                    <w:sz w:val="20"/>
                  </w:rPr>
                  <m:t>β</m:t>
                </m:r>
              </m:e>
              <m:sup>
                <m:r>
                  <w:rPr>
                    <w:rFonts w:ascii="Cambria Math" w:hAnsi="Cambria Math"/>
                    <w:sz w:val="20"/>
                  </w:rPr>
                  <m:t>'</m:t>
                </m:r>
              </m:sup>
            </m:sSup>
            <m:r>
              <w:rPr>
                <w:rFonts w:ascii="Cambria Math" w:hAnsi="Cambria Math"/>
                <w:sz w:val="20"/>
              </w:rPr>
              <m:t>x+</m:t>
            </m:r>
            <m:sSup>
              <m:sSupPr>
                <m:ctrlPr>
                  <w:rPr>
                    <w:rFonts w:ascii="Cambria Math" w:hAnsi="Cambria Math"/>
                    <w:i/>
                    <w:sz w:val="20"/>
                  </w:rPr>
                </m:ctrlPr>
              </m:sSupPr>
              <m:e>
                <m:r>
                  <w:rPr>
                    <w:rFonts w:ascii="Cambria Math" w:hAnsi="Cambria Math"/>
                    <w:sz w:val="20"/>
                  </w:rPr>
                  <m:t>γ</m:t>
                </m:r>
              </m:e>
              <m:sup>
                <m:r>
                  <w:rPr>
                    <w:rFonts w:ascii="Cambria Math" w:hAnsi="Cambria Math"/>
                    <w:sz w:val="20"/>
                  </w:rPr>
                  <m:t>'</m:t>
                </m:r>
              </m:sup>
            </m:sSup>
            <m:sSup>
              <m:sSupPr>
                <m:ctrlPr>
                  <w:rPr>
                    <w:rFonts w:ascii="Cambria Math" w:hAnsi="Cambria Math"/>
                    <w:i/>
                    <w:sz w:val="20"/>
                  </w:rPr>
                </m:ctrlPr>
              </m:sSupPr>
              <m:e>
                <m:r>
                  <w:rPr>
                    <w:rFonts w:ascii="Cambria Math" w:hAnsi="Cambria Math"/>
                    <w:sz w:val="20"/>
                  </w:rPr>
                  <m:t>x</m:t>
                </m:r>
              </m:e>
              <m:sup>
                <m:r>
                  <w:rPr>
                    <w:rFonts w:ascii="Cambria Math" w:hAnsi="Cambria Math"/>
                    <w:sz w:val="20"/>
                  </w:rPr>
                  <m:t>2</m:t>
                </m:r>
              </m:sup>
            </m:sSup>
            <m:r>
              <w:rPr>
                <w:rFonts w:ascii="Cambria Math" w:hAnsi="Cambria Math"/>
                <w:sz w:val="20"/>
              </w:rPr>
              <m:t>+O</m:t>
            </m:r>
            <m:d>
              <m:dPr>
                <m:ctrlPr>
                  <w:rPr>
                    <w:rFonts w:ascii="Cambria Math" w:hAnsi="Cambria Math"/>
                    <w:i/>
                    <w:sz w:val="20"/>
                  </w:rPr>
                </m:ctrlPr>
              </m:dPr>
              <m:e>
                <m:sSup>
                  <m:sSupPr>
                    <m:ctrlPr>
                      <w:rPr>
                        <w:rFonts w:ascii="Cambria Math" w:hAnsi="Cambria Math"/>
                        <w:i/>
                        <w:sz w:val="20"/>
                      </w:rPr>
                    </m:ctrlPr>
                  </m:sSupPr>
                  <m:e>
                    <m:r>
                      <w:rPr>
                        <w:rFonts w:ascii="Cambria Math" w:hAnsi="Cambria Math"/>
                        <w:sz w:val="20"/>
                      </w:rPr>
                      <m:t>x</m:t>
                    </m:r>
                  </m:e>
                  <m:sup>
                    <m:r>
                      <w:rPr>
                        <w:rFonts w:ascii="Cambria Math" w:hAnsi="Cambria Math"/>
                        <w:sz w:val="20"/>
                      </w:rPr>
                      <m:t>3</m:t>
                    </m:r>
                  </m:sup>
                </m:sSup>
              </m:e>
            </m:d>
          </m:e>
        </m:d>
        <m:r>
          <w:rPr>
            <w:rFonts w:ascii="Cambria Math" w:hAnsi="Cambria Math"/>
            <w:sz w:val="20"/>
          </w:rPr>
          <m:t>+</m:t>
        </m:r>
        <m:sSub>
          <m:sSubPr>
            <m:ctrlPr>
              <w:rPr>
                <w:rFonts w:ascii="Cambria Math" w:hAnsi="Cambria Math"/>
                <w:i/>
                <w:sz w:val="20"/>
              </w:rPr>
            </m:ctrlPr>
          </m:sSubPr>
          <m:e>
            <m:r>
              <w:rPr>
                <w:rFonts w:ascii="Cambria Math" w:hAnsi="Cambria Math"/>
                <w:sz w:val="20"/>
              </w:rPr>
              <m:t>α</m:t>
            </m:r>
          </m:e>
          <m:sub>
            <m:r>
              <w:rPr>
                <w:rFonts w:ascii="Cambria Math" w:hAnsi="Cambria Math"/>
                <w:sz w:val="20"/>
              </w:rPr>
              <m:t>ns</m:t>
            </m:r>
          </m:sub>
        </m:sSub>
      </m:oMath>
      <w:r w:rsidR="00474C0F">
        <w:rPr>
          <w:rFonts w:ascii="Times New Roman" w:hAnsi="Times New Roman"/>
          <w:i/>
          <w:sz w:val="20"/>
        </w:rPr>
        <w:t xml:space="preserve"> </w:t>
      </w:r>
      <w:r w:rsidR="00474C0F" w:rsidRPr="00E065E1">
        <w:rPr>
          <w:rFonts w:ascii="Times New Roman" w:hAnsi="Times New Roman"/>
          <w:iCs/>
          <w:sz w:val="20"/>
        </w:rPr>
        <w:t xml:space="preserve">for </w:t>
      </w:r>
      <w:r w:rsidR="00474C0F" w:rsidRPr="002E4D49">
        <w:rPr>
          <w:rFonts w:ascii="Times New Roman" w:hAnsi="Times New Roman"/>
          <w:i/>
          <w:iCs/>
          <w:sz w:val="20"/>
        </w:rPr>
        <w:t>x</w:t>
      </w:r>
      <w:r w:rsidR="00474C0F">
        <w:rPr>
          <w:rFonts w:ascii="Times New Roman" w:hAnsi="Times New Roman"/>
          <w:sz w:val="20"/>
        </w:rPr>
        <w:t>=</w:t>
      </w:r>
      <w:r w:rsidR="00474C0F" w:rsidRPr="002E4D49">
        <w:rPr>
          <w:rFonts w:ascii="Times New Roman" w:hAnsi="Times New Roman"/>
          <w:i/>
          <w:iCs/>
          <w:sz w:val="20"/>
        </w:rPr>
        <w:t>I</w:t>
      </w:r>
      <w:r w:rsidR="00474C0F" w:rsidRPr="002E4D49">
        <w:rPr>
          <w:rFonts w:ascii="Times New Roman" w:hAnsi="Times New Roman"/>
          <w:i/>
          <w:iCs/>
          <w:sz w:val="20"/>
          <w:vertAlign w:val="subscript"/>
        </w:rPr>
        <w:t>0</w:t>
      </w:r>
      <w:r w:rsidR="00474C0F">
        <w:rPr>
          <w:rFonts w:ascii="Times New Roman" w:hAnsi="Times New Roman"/>
          <w:sz w:val="20"/>
        </w:rPr>
        <w:t>/</w:t>
      </w:r>
      <w:r w:rsidR="00474C0F" w:rsidRPr="002E4D49">
        <w:rPr>
          <w:rFonts w:ascii="Times New Roman" w:hAnsi="Times New Roman"/>
          <w:i/>
          <w:iCs/>
          <w:sz w:val="20"/>
        </w:rPr>
        <w:t>I</w:t>
      </w:r>
      <w:r w:rsidR="00474C0F" w:rsidRPr="002E4D49">
        <w:rPr>
          <w:rFonts w:ascii="Times New Roman" w:hAnsi="Times New Roman"/>
          <w:i/>
          <w:iCs/>
          <w:sz w:val="20"/>
          <w:vertAlign w:val="subscript"/>
        </w:rPr>
        <w:t>sat</w:t>
      </w:r>
      <w:r w:rsidR="00474C0F">
        <w:rPr>
          <w:rFonts w:ascii="Times New Roman" w:hAnsi="Times New Roman"/>
          <w:sz w:val="20"/>
        </w:rPr>
        <w:t xml:space="preserve">, </w:t>
      </w:r>
    </w:p>
    <w:p w14:paraId="7408E733" w14:textId="77777777" w:rsidR="00474C0F" w:rsidRPr="002E4D49" w:rsidRDefault="00474C0F" w:rsidP="00576D81">
      <w:pPr>
        <w:pStyle w:val="09BodyFirstParagraph"/>
        <w:ind w:firstLineChars="200" w:firstLine="400"/>
      </w:pPr>
      <w:r>
        <w:rPr>
          <w:rFonts w:hint="eastAsia"/>
        </w:rPr>
        <w:t>a</w:t>
      </w:r>
      <w:r>
        <w:t>nd can be further generalized as:</w:t>
      </w:r>
    </w:p>
    <w:p w14:paraId="149A96C7" w14:textId="77777777" w:rsidR="00474C0F" w:rsidRPr="00FA466F" w:rsidRDefault="00000000" w:rsidP="00474C0F">
      <w:pPr>
        <w:jc w:val="center"/>
        <w:rPr>
          <w:rFonts w:ascii="Times New Roman" w:hAnsi="Times New Roman"/>
          <w:sz w:val="20"/>
        </w:rPr>
      </w:pPr>
      <m:oMathPara>
        <m:oMath>
          <m:eqArr>
            <m:eqArrPr>
              <m:maxDist m:val="1"/>
              <m:ctrlPr>
                <w:rPr>
                  <w:rFonts w:ascii="Cambria Math" w:hAnsi="Cambria Math"/>
                  <w:i/>
                  <w:sz w:val="20"/>
                </w:rPr>
              </m:ctrlPr>
            </m:eqArrPr>
            <m:e>
              <m:sSubSup>
                <m:sSubSupPr>
                  <m:ctrlPr>
                    <w:rPr>
                      <w:rFonts w:ascii="Cambria Math" w:hAnsi="Cambria Math"/>
                      <w:i/>
                      <w:sz w:val="20"/>
                    </w:rPr>
                  </m:ctrlPr>
                </m:sSubSupPr>
                <m:e>
                  <m:r>
                    <w:rPr>
                      <w:rFonts w:ascii="Cambria Math" w:hAnsi="Cambria Math"/>
                      <w:sz w:val="20"/>
                    </w:rPr>
                    <m:t>α</m:t>
                  </m:r>
                </m:e>
                <m:sub>
                  <m:r>
                    <w:rPr>
                      <w:rFonts w:ascii="Cambria Math" w:hAnsi="Cambria Math"/>
                      <w:sz w:val="20"/>
                    </w:rPr>
                    <m:t>eff</m:t>
                  </m:r>
                </m:sub>
                <m:sup>
                  <m:r>
                    <w:rPr>
                      <w:rFonts w:ascii="Cambria Math" w:hAnsi="Cambria Math"/>
                      <w:sz w:val="20"/>
                    </w:rPr>
                    <m:t>'</m:t>
                  </m:r>
                </m:sup>
              </m:sSubSup>
              <m:d>
                <m:dPr>
                  <m:ctrlPr>
                    <w:rPr>
                      <w:rFonts w:ascii="Cambria Math" w:hAnsi="Cambria Math"/>
                      <w:i/>
                      <w:sz w:val="20"/>
                    </w:rPr>
                  </m:ctrlPr>
                </m:dPr>
                <m:e>
                  <m:r>
                    <w:rPr>
                      <w:rFonts w:ascii="Cambria Math" w:hAnsi="Cambria Math"/>
                      <w:sz w:val="20"/>
                    </w:rPr>
                    <m:t>x</m:t>
                  </m:r>
                </m:e>
              </m:d>
              <m:r>
                <w:rPr>
                  <w:rFonts w:ascii="Cambria Math" w:hAnsi="Cambria Math"/>
                  <w:sz w:val="20"/>
                </w:rPr>
                <m:t>=</m:t>
              </m:r>
              <m:sSubSup>
                <m:sSubSupPr>
                  <m:ctrlPr>
                    <w:rPr>
                      <w:rFonts w:ascii="Cambria Math" w:hAnsi="Cambria Math"/>
                      <w:i/>
                      <w:sz w:val="20"/>
                    </w:rPr>
                  </m:ctrlPr>
                </m:sSubSupPr>
                <m:e>
                  <m:r>
                    <w:rPr>
                      <w:rFonts w:ascii="Cambria Math" w:hAnsi="Cambria Math"/>
                      <w:sz w:val="20"/>
                    </w:rPr>
                    <m:t>α</m:t>
                  </m:r>
                </m:e>
                <m:sub>
                  <m:r>
                    <w:rPr>
                      <w:rFonts w:ascii="Cambria Math" w:hAnsi="Cambria Math"/>
                      <w:sz w:val="20"/>
                    </w:rPr>
                    <m:t>0</m:t>
                  </m:r>
                </m:sub>
                <m:sup>
                  <m:r>
                    <w:rPr>
                      <w:rFonts w:ascii="Cambria Math" w:hAnsi="Cambria Math"/>
                      <w:sz w:val="20"/>
                    </w:rPr>
                    <m:t>''</m:t>
                  </m:r>
                </m:sup>
              </m:sSubSup>
              <m:r>
                <w:rPr>
                  <w:rFonts w:ascii="Cambria Math" w:hAnsi="Cambria Math"/>
                  <w:sz w:val="20"/>
                </w:rPr>
                <m:t>+</m:t>
              </m:r>
              <m:sSup>
                <m:sSupPr>
                  <m:ctrlPr>
                    <w:rPr>
                      <w:rFonts w:ascii="Cambria Math" w:hAnsi="Cambria Math"/>
                      <w:i/>
                      <w:sz w:val="20"/>
                    </w:rPr>
                  </m:ctrlPr>
                </m:sSupPr>
                <m:e>
                  <m:sSup>
                    <m:sSupPr>
                      <m:ctrlPr>
                        <w:rPr>
                          <w:rFonts w:ascii="Cambria Math" w:hAnsi="Cambria Math"/>
                          <w:i/>
                          <w:sz w:val="20"/>
                        </w:rPr>
                      </m:ctrlPr>
                    </m:sSupPr>
                    <m:e>
                      <m:r>
                        <w:rPr>
                          <w:rFonts w:ascii="Cambria Math" w:hAnsi="Cambria Math"/>
                          <w:sz w:val="20"/>
                        </w:rPr>
                        <m:t>β</m:t>
                      </m:r>
                    </m:e>
                    <m:sup>
                      <m:r>
                        <w:rPr>
                          <w:rFonts w:ascii="Cambria Math" w:hAnsi="Cambria Math"/>
                          <w:sz w:val="20"/>
                        </w:rPr>
                        <m:t>'</m:t>
                      </m:r>
                    </m:sup>
                  </m:sSup>
                </m:e>
                <m:sup>
                  <m:r>
                    <w:rPr>
                      <w:rFonts w:ascii="Cambria Math" w:hAnsi="Cambria Math"/>
                      <w:sz w:val="20"/>
                    </w:rPr>
                    <m:t>'</m:t>
                  </m:r>
                </m:sup>
              </m:sSup>
              <m:r>
                <w:rPr>
                  <w:rFonts w:ascii="Cambria Math" w:hAnsi="Cambria Math"/>
                  <w:sz w:val="20"/>
                </w:rPr>
                <m:t>x+</m:t>
              </m:r>
              <m:sSup>
                <m:sSupPr>
                  <m:ctrlPr>
                    <w:rPr>
                      <w:rFonts w:ascii="Cambria Math" w:hAnsi="Cambria Math"/>
                      <w:i/>
                      <w:sz w:val="20"/>
                    </w:rPr>
                  </m:ctrlPr>
                </m:sSupPr>
                <m:e>
                  <m:r>
                    <w:rPr>
                      <w:rFonts w:ascii="Cambria Math" w:hAnsi="Cambria Math"/>
                      <w:sz w:val="20"/>
                    </w:rPr>
                    <m:t>γ</m:t>
                  </m:r>
                </m:e>
                <m:sup>
                  <m:r>
                    <w:rPr>
                      <w:rFonts w:ascii="Cambria Math" w:hAnsi="Cambria Math"/>
                      <w:sz w:val="20"/>
                    </w:rPr>
                    <m:t>''</m:t>
                  </m:r>
                </m:sup>
              </m:sSup>
              <m:sSup>
                <m:sSupPr>
                  <m:ctrlPr>
                    <w:rPr>
                      <w:rFonts w:ascii="Cambria Math" w:hAnsi="Cambria Math"/>
                      <w:i/>
                      <w:sz w:val="20"/>
                    </w:rPr>
                  </m:ctrlPr>
                </m:sSupPr>
                <m:e>
                  <m:r>
                    <w:rPr>
                      <w:rFonts w:ascii="Cambria Math" w:hAnsi="Cambria Math"/>
                      <w:sz w:val="20"/>
                    </w:rPr>
                    <m:t>x</m:t>
                  </m:r>
                </m:e>
                <m:sup>
                  <m:r>
                    <w:rPr>
                      <w:rFonts w:ascii="Cambria Math" w:hAnsi="Cambria Math"/>
                      <w:sz w:val="20"/>
                    </w:rPr>
                    <m:t>2</m:t>
                  </m:r>
                </m:sup>
              </m:sSup>
              <m:r>
                <w:rPr>
                  <w:rFonts w:ascii="Cambria Math" w:hAnsi="Cambria Math"/>
                  <w:sz w:val="20"/>
                </w:rPr>
                <m:t>+O</m:t>
              </m:r>
              <m:d>
                <m:dPr>
                  <m:ctrlPr>
                    <w:rPr>
                      <w:rFonts w:ascii="Cambria Math" w:hAnsi="Cambria Math"/>
                      <w:i/>
                      <w:sz w:val="20"/>
                    </w:rPr>
                  </m:ctrlPr>
                </m:dPr>
                <m:e>
                  <m:sSup>
                    <m:sSupPr>
                      <m:ctrlPr>
                        <w:rPr>
                          <w:rFonts w:ascii="Cambria Math" w:hAnsi="Cambria Math"/>
                          <w:i/>
                          <w:sz w:val="20"/>
                        </w:rPr>
                      </m:ctrlPr>
                    </m:sSupPr>
                    <m:e>
                      <m:r>
                        <w:rPr>
                          <w:rFonts w:ascii="Cambria Math" w:hAnsi="Cambria Math"/>
                          <w:sz w:val="20"/>
                        </w:rPr>
                        <m:t>x</m:t>
                      </m:r>
                    </m:e>
                    <m:sup>
                      <m:r>
                        <w:rPr>
                          <w:rFonts w:ascii="Cambria Math" w:hAnsi="Cambria Math"/>
                          <w:sz w:val="20"/>
                        </w:rPr>
                        <m:t>3</m:t>
                      </m:r>
                    </m:sup>
                  </m:sSup>
                </m:e>
              </m:d>
              <m:r>
                <w:rPr>
                  <w:rFonts w:ascii="Cambria Math" w:hAnsi="Cambria Math"/>
                  <w:sz w:val="20"/>
                </w:rPr>
                <m:t>#</m:t>
              </m:r>
              <m:d>
                <m:dPr>
                  <m:ctrlPr>
                    <w:rPr>
                      <w:rFonts w:ascii="Cambria Math" w:hAnsi="Cambria Math"/>
                      <w:iCs/>
                      <w:sz w:val="20"/>
                    </w:rPr>
                  </m:ctrlPr>
                </m:dPr>
                <m:e>
                  <m:r>
                    <m:rPr>
                      <m:sty m:val="p"/>
                    </m:rPr>
                    <w:rPr>
                      <w:rFonts w:ascii="Cambria Math" w:hAnsi="Cambria Math"/>
                      <w:sz w:val="20"/>
                    </w:rPr>
                    <m:t>S6</m:t>
                  </m:r>
                </m:e>
              </m:d>
            </m:e>
          </m:eqArr>
        </m:oMath>
      </m:oMathPara>
    </w:p>
    <w:p w14:paraId="0996FE87" w14:textId="549F61B6" w:rsidR="00474C0F" w:rsidRPr="002E4D49" w:rsidRDefault="00474C0F" w:rsidP="00576D81">
      <w:pPr>
        <w:pStyle w:val="09BodyFirstParagraph"/>
        <w:ind w:firstLineChars="200" w:firstLine="400"/>
      </w:pPr>
      <w:r>
        <w:t xml:space="preserve">with the known Fourier expansion near zero </w:t>
      </w:r>
      <w:r w:rsidRPr="007838C9">
        <w:t>1/(1+</w:t>
      </w:r>
      <w:r w:rsidRPr="00DC1EF1">
        <w:rPr>
          <w:i/>
          <w:iCs/>
        </w:rPr>
        <w:t>x</w:t>
      </w:r>
      <w:r w:rsidRPr="007838C9">
        <w:t xml:space="preserve">) = 1- </w:t>
      </w:r>
      <w:r w:rsidRPr="00DC1EF1">
        <w:rPr>
          <w:i/>
          <w:iCs/>
        </w:rPr>
        <w:t>x</w:t>
      </w:r>
      <w:r w:rsidRPr="007838C9">
        <w:t xml:space="preserve"> + </w:t>
      </w:r>
      <w:r w:rsidRPr="00DC1EF1">
        <w:rPr>
          <w:i/>
          <w:iCs/>
        </w:rPr>
        <w:t>x</w:t>
      </w:r>
      <w:r w:rsidRPr="00DC1EF1">
        <w:rPr>
          <w:i/>
          <w:iCs/>
          <w:vertAlign w:val="superscript"/>
        </w:rPr>
        <w:t>2</w:t>
      </w:r>
      <w:r w:rsidRPr="007838C9">
        <w:t xml:space="preserve">- </w:t>
      </w:r>
      <w:r w:rsidRPr="00DC1EF1">
        <w:rPr>
          <w:i/>
          <w:iCs/>
        </w:rPr>
        <w:t>x</w:t>
      </w:r>
      <w:r w:rsidRPr="00DC1EF1">
        <w:rPr>
          <w:i/>
          <w:iCs/>
          <w:vertAlign w:val="superscript"/>
        </w:rPr>
        <w:t>3</w:t>
      </w:r>
      <w:r w:rsidRPr="007838C9">
        <w:t>+ O(</w:t>
      </w:r>
      <w:r w:rsidRPr="00DC1EF1">
        <w:rPr>
          <w:i/>
          <w:iCs/>
        </w:rPr>
        <w:t>x</w:t>
      </w:r>
      <w:r w:rsidRPr="00DC1EF1">
        <w:rPr>
          <w:i/>
          <w:iCs/>
          <w:vertAlign w:val="superscript"/>
        </w:rPr>
        <w:t>4</w:t>
      </w:r>
      <w:r w:rsidRPr="007838C9">
        <w:t>)</w:t>
      </w:r>
      <w:r w:rsidRPr="007838C9">
        <w:rPr>
          <w:rFonts w:hint="eastAsia"/>
        </w:rPr>
        <w:t>.</w:t>
      </w:r>
    </w:p>
    <w:p w14:paraId="00AF374C" w14:textId="691BE394" w:rsidR="00474C0F" w:rsidRDefault="00474C0F" w:rsidP="00576D81">
      <w:pPr>
        <w:pStyle w:val="09BodyFirstParagraph"/>
        <w:ind w:firstLineChars="200" w:firstLine="400"/>
      </w:pPr>
      <w:r>
        <w:t xml:space="preserve">Similarly, given the Fourier expansion of a normalized Fermi-Dirac function </w:t>
      </w:r>
      <w:r w:rsidRPr="000013B7">
        <w:t>σ</w:t>
      </w:r>
      <w:r w:rsidRPr="007838C9">
        <w:t>(</w:t>
      </w:r>
      <w:r w:rsidRPr="00DC1EF1">
        <w:rPr>
          <w:i/>
          <w:iCs/>
        </w:rPr>
        <w:t>x</w:t>
      </w:r>
      <w:r w:rsidRPr="007838C9">
        <w:t>)</w:t>
      </w:r>
      <w:r w:rsidR="000E3557">
        <w:t xml:space="preserve"> </w:t>
      </w:r>
      <w:r w:rsidRPr="007838C9">
        <w:t>=</w:t>
      </w:r>
      <w:r w:rsidR="000E3557">
        <w:t xml:space="preserve"> </w:t>
      </w:r>
      <w:r w:rsidRPr="007838C9">
        <w:t>1/(1+</w:t>
      </w:r>
      <w:r w:rsidRPr="00DC1EF1">
        <w:rPr>
          <w:i/>
          <w:iCs/>
        </w:rPr>
        <w:t>e</w:t>
      </w:r>
      <w:r w:rsidRPr="00DC1EF1">
        <w:rPr>
          <w:i/>
          <w:iCs/>
          <w:vertAlign w:val="superscript"/>
        </w:rPr>
        <w:t>-x</w:t>
      </w:r>
      <w:r w:rsidRPr="007838C9">
        <w:t>) =</w:t>
      </w:r>
      <w:r w:rsidR="000E3557">
        <w:t xml:space="preserve"> </w:t>
      </w:r>
      <w:r w:rsidRPr="007838C9">
        <w:t>1/2+</w:t>
      </w:r>
      <w:r w:rsidRPr="00DC1EF1">
        <w:rPr>
          <w:i/>
          <w:iCs/>
        </w:rPr>
        <w:t>x</w:t>
      </w:r>
      <w:r w:rsidRPr="007838C9">
        <w:t>/4 -</w:t>
      </w:r>
      <w:r w:rsidRPr="00DC1EF1">
        <w:rPr>
          <w:i/>
          <w:iCs/>
        </w:rPr>
        <w:t>x</w:t>
      </w:r>
      <w:r w:rsidRPr="00DC1EF1">
        <w:rPr>
          <w:i/>
          <w:iCs/>
          <w:vertAlign w:val="superscript"/>
        </w:rPr>
        <w:t>3</w:t>
      </w:r>
      <w:r w:rsidRPr="007838C9">
        <w:t>/48 +</w:t>
      </w:r>
      <w:r w:rsidRPr="000013B7">
        <w:t xml:space="preserve"> O</w:t>
      </w:r>
      <w:r w:rsidRPr="007838C9">
        <w:t>(</w:t>
      </w:r>
      <w:r w:rsidRPr="00DC1EF1">
        <w:rPr>
          <w:i/>
          <w:iCs/>
        </w:rPr>
        <w:t>x</w:t>
      </w:r>
      <w:r w:rsidRPr="00DC1EF1">
        <w:rPr>
          <w:i/>
          <w:iCs/>
          <w:vertAlign w:val="superscript"/>
        </w:rPr>
        <w:t>4</w:t>
      </w:r>
      <w:r w:rsidRPr="007838C9">
        <w:t>)</w:t>
      </w:r>
      <w:r>
        <w:t xml:space="preserve">, the generalized form </w:t>
      </w:r>
      <w:r w:rsidRPr="00DC1EF1">
        <w:rPr>
          <w:i/>
          <w:iCs/>
        </w:rPr>
        <w:t>T</w:t>
      </w:r>
      <w:r>
        <w:t>(</w:t>
      </w:r>
      <w:r w:rsidRPr="00DC1EF1">
        <w:rPr>
          <w:i/>
          <w:iCs/>
        </w:rPr>
        <w:t>x</w:t>
      </w:r>
      <w:r>
        <w:t>)</w:t>
      </w:r>
      <w:r w:rsidR="0025207C">
        <w:t xml:space="preserve"> </w:t>
      </w:r>
      <w:r>
        <w:t xml:space="preserve">= </w:t>
      </w:r>
      <w:r w:rsidRPr="00DC1EF1">
        <w:rPr>
          <w:i/>
          <w:iCs/>
        </w:rPr>
        <w:t>a</w:t>
      </w:r>
      <w:r w:rsidRPr="000013B7">
        <w:t xml:space="preserve">+ </w:t>
      </w:r>
      <w:r w:rsidRPr="00DC1EF1">
        <w:rPr>
          <w:i/>
          <w:iCs/>
        </w:rPr>
        <w:t>b</w:t>
      </w:r>
      <w:r w:rsidRPr="000013B7">
        <w:t>/</w:t>
      </w:r>
      <w:r w:rsidRPr="007838C9">
        <w:t>(1</w:t>
      </w:r>
      <w:r w:rsidRPr="000013B7">
        <w:t>+</w:t>
      </w:r>
      <w:r w:rsidRPr="00DC1EF1">
        <w:rPr>
          <w:i/>
          <w:iCs/>
        </w:rPr>
        <w:t>c*e</w:t>
      </w:r>
      <w:r w:rsidRPr="00DC1EF1">
        <w:rPr>
          <w:i/>
          <w:iCs/>
          <w:vertAlign w:val="superscript"/>
        </w:rPr>
        <w:t>-dx</w:t>
      </w:r>
      <w:r w:rsidRPr="007838C9">
        <w:t>)</w:t>
      </w:r>
      <w:r>
        <w:t xml:space="preserve"> can thus be expanded as </w:t>
      </w:r>
      <w:r w:rsidRPr="000013B7">
        <w:t>T</w:t>
      </w:r>
      <w:r w:rsidRPr="00C82D50">
        <w:t>(</w:t>
      </w:r>
      <w:r w:rsidRPr="00DC1EF1">
        <w:rPr>
          <w:i/>
          <w:iCs/>
        </w:rPr>
        <w:t>x</w:t>
      </w:r>
      <w:r w:rsidRPr="00C82D50">
        <w:t>)</w:t>
      </w:r>
      <w:r w:rsidRPr="000013B7">
        <w:t xml:space="preserve"> =</w:t>
      </w:r>
      <w:r w:rsidRPr="00DC1EF1">
        <w:rPr>
          <w:i/>
          <w:iCs/>
        </w:rPr>
        <w:t xml:space="preserve"> α’</w:t>
      </w:r>
      <w:r w:rsidRPr="00DC1EF1">
        <w:rPr>
          <w:i/>
          <w:iCs/>
          <w:vertAlign w:val="subscript"/>
        </w:rPr>
        <w:t>0</w:t>
      </w:r>
      <w:r w:rsidRPr="000013B7">
        <w:t xml:space="preserve"> + </w:t>
      </w:r>
      <w:r w:rsidRPr="00DC1EF1">
        <w:rPr>
          <w:i/>
          <w:iCs/>
        </w:rPr>
        <w:t>β’x</w:t>
      </w:r>
      <w:r w:rsidRPr="000013B7">
        <w:t xml:space="preserve"> + </w:t>
      </w:r>
      <w:r w:rsidRPr="00DC1EF1">
        <w:rPr>
          <w:i/>
          <w:iCs/>
        </w:rPr>
        <w:t>γ’</w:t>
      </w:r>
      <w:r w:rsidRPr="000013B7">
        <w:t xml:space="preserve"> </w:t>
      </w:r>
      <w:r w:rsidRPr="00DC1EF1">
        <w:rPr>
          <w:i/>
          <w:iCs/>
        </w:rPr>
        <w:t>x</w:t>
      </w:r>
      <w:r w:rsidRPr="00DC1EF1">
        <w:rPr>
          <w:vertAlign w:val="superscript"/>
        </w:rPr>
        <w:t>2</w:t>
      </w:r>
      <w:r w:rsidRPr="000013B7">
        <w:t xml:space="preserve"> + </w:t>
      </w:r>
      <w:r w:rsidRPr="00DC1EF1">
        <w:rPr>
          <w:i/>
          <w:iCs/>
        </w:rPr>
        <w:t>O</w:t>
      </w:r>
      <w:r w:rsidRPr="00C82D50">
        <w:t>(</w:t>
      </w:r>
      <w:r w:rsidRPr="00DC1EF1">
        <w:rPr>
          <w:i/>
          <w:iCs/>
        </w:rPr>
        <w:t>x</w:t>
      </w:r>
      <w:r w:rsidRPr="00DC1EF1">
        <w:rPr>
          <w:vertAlign w:val="superscript"/>
        </w:rPr>
        <w:t>3</w:t>
      </w:r>
      <w:r w:rsidRPr="00C82D50">
        <w:t>)</w:t>
      </w:r>
      <w:r>
        <w:t>, with only a difference of a scaling factor for each term from (S6).</w:t>
      </w:r>
    </w:p>
    <w:p w14:paraId="5CE8FF34" w14:textId="77777777" w:rsidR="00474C0F" w:rsidRDefault="00474C0F" w:rsidP="00576D81">
      <w:pPr>
        <w:pStyle w:val="09BodyFirstParagraph"/>
        <w:ind w:firstLineChars="200" w:firstLine="400"/>
      </w:pPr>
      <w:r>
        <w:t>In most cases, the saturation absorption coefficient in (S3) is simplified as</w:t>
      </w:r>
    </w:p>
    <w:p w14:paraId="71934841" w14:textId="77777777" w:rsidR="00474C0F" w:rsidRPr="009D7BFB" w:rsidRDefault="00000000" w:rsidP="00474C0F">
      <w:pPr>
        <w:ind w:firstLineChars="200" w:firstLine="400"/>
        <w:jc w:val="center"/>
        <w:rPr>
          <w:rFonts w:ascii="Times New Roman" w:hAnsi="Times New Roman"/>
          <w:sz w:val="20"/>
        </w:rPr>
      </w:pPr>
      <m:oMathPara>
        <m:oMath>
          <m:eqArr>
            <m:eqArrPr>
              <m:maxDist m:val="1"/>
              <m:ctrlPr>
                <w:rPr>
                  <w:rFonts w:ascii="Cambria Math" w:hAnsi="Cambria Math"/>
                  <w:i/>
                  <w:sz w:val="20"/>
                </w:rPr>
              </m:ctrlPr>
            </m:eqArrPr>
            <m:e>
              <m:sSubSup>
                <m:sSubSupPr>
                  <m:ctrlPr>
                    <w:rPr>
                      <w:rFonts w:ascii="Cambria Math" w:hAnsi="Cambria Math"/>
                      <w:i/>
                      <w:sz w:val="20"/>
                    </w:rPr>
                  </m:ctrlPr>
                </m:sSubSupPr>
                <m:e>
                  <m:r>
                    <w:rPr>
                      <w:rFonts w:ascii="Cambria Math" w:hAnsi="Cambria Math"/>
                      <w:sz w:val="20"/>
                    </w:rPr>
                    <m:t>α</m:t>
                  </m:r>
                </m:e>
                <m:sub>
                  <m:r>
                    <w:rPr>
                      <w:rFonts w:ascii="Cambria Math" w:hAnsi="Cambria Math"/>
                      <w:sz w:val="20"/>
                    </w:rPr>
                    <m:t>eff</m:t>
                  </m:r>
                </m:sub>
                <m:sup>
                  <m:r>
                    <w:rPr>
                      <w:rFonts w:ascii="Cambria Math" w:hAnsi="Cambria Math"/>
                      <w:sz w:val="20"/>
                    </w:rPr>
                    <m:t>'</m:t>
                  </m:r>
                </m:sup>
              </m:sSubSup>
              <m:r>
                <w:rPr>
                  <w:rFonts w:ascii="Cambria Math" w:hAnsi="Cambria Math"/>
                  <w:sz w:val="20"/>
                </w:rPr>
                <m:t>=</m:t>
              </m:r>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α</m:t>
                      </m:r>
                    </m:e>
                    <m:sub>
                      <m:r>
                        <w:rPr>
                          <w:rFonts w:ascii="Cambria Math" w:hAnsi="Cambria Math"/>
                          <w:sz w:val="20"/>
                        </w:rPr>
                        <m:t>0</m:t>
                      </m:r>
                    </m:sub>
                  </m:sSub>
                </m:num>
                <m:den>
                  <m:r>
                    <w:rPr>
                      <w:rFonts w:ascii="Cambria Math" w:hAnsi="Cambria Math"/>
                      <w:sz w:val="20"/>
                    </w:rPr>
                    <m:t>1+</m:t>
                  </m:r>
                  <m:f>
                    <m:fPr>
                      <m:type m:val="lin"/>
                      <m:ctrlPr>
                        <w:rPr>
                          <w:rFonts w:ascii="Cambria Math" w:hAnsi="Cambria Math"/>
                          <w:i/>
                          <w:sz w:val="20"/>
                        </w:rPr>
                      </m:ctrlPr>
                    </m:fPr>
                    <m:num>
                      <m:sSub>
                        <m:sSubPr>
                          <m:ctrlPr>
                            <w:rPr>
                              <w:rFonts w:ascii="Cambria Math" w:hAnsi="Cambria Math"/>
                              <w:iCs/>
                              <w:sz w:val="20"/>
                            </w:rPr>
                          </m:ctrlPr>
                        </m:sSubPr>
                        <m:e>
                          <m:r>
                            <m:rPr>
                              <m:sty m:val="p"/>
                            </m:rPr>
                            <w:rPr>
                              <w:rFonts w:ascii="Cambria Math" w:hAnsi="Cambria Math"/>
                              <w:sz w:val="20"/>
                            </w:rPr>
                            <m:t>I</m:t>
                          </m:r>
                        </m:e>
                        <m:sub>
                          <m:r>
                            <m:rPr>
                              <m:sty m:val="p"/>
                            </m:rPr>
                            <w:rPr>
                              <w:rFonts w:ascii="Cambria Math" w:hAnsi="Cambria Math"/>
                              <w:sz w:val="20"/>
                            </w:rPr>
                            <m:t>0</m:t>
                          </m:r>
                        </m:sub>
                      </m:sSub>
                    </m:num>
                    <m:den>
                      <m:sSub>
                        <m:sSubPr>
                          <m:ctrlPr>
                            <w:rPr>
                              <w:rFonts w:ascii="Cambria Math" w:hAnsi="Cambria Math"/>
                              <w:iCs/>
                              <w:sz w:val="20"/>
                            </w:rPr>
                          </m:ctrlPr>
                        </m:sSubPr>
                        <m:e>
                          <m:r>
                            <m:rPr>
                              <m:sty m:val="p"/>
                            </m:rPr>
                            <w:rPr>
                              <w:rFonts w:ascii="Cambria Math" w:hAnsi="Cambria Math"/>
                              <w:sz w:val="20"/>
                            </w:rPr>
                            <m:t>I</m:t>
                          </m:r>
                        </m:e>
                        <m:sub>
                          <m:r>
                            <m:rPr>
                              <m:sty m:val="p"/>
                            </m:rPr>
                            <w:rPr>
                              <w:rFonts w:ascii="Cambria Math" w:hAnsi="Cambria Math"/>
                              <w:sz w:val="20"/>
                            </w:rPr>
                            <m:t>sat</m:t>
                          </m:r>
                        </m:sub>
                      </m:sSub>
                    </m:den>
                  </m:f>
                </m:den>
              </m:f>
              <m:r>
                <w:rPr>
                  <w:rFonts w:ascii="Cambria Math" w:hAnsi="Cambria Math"/>
                  <w:sz w:val="20"/>
                </w:rPr>
                <m:t>+</m:t>
              </m:r>
              <m:sSub>
                <m:sSubPr>
                  <m:ctrlPr>
                    <w:rPr>
                      <w:rFonts w:ascii="Cambria Math" w:hAnsi="Cambria Math"/>
                      <w:i/>
                      <w:sz w:val="20"/>
                    </w:rPr>
                  </m:ctrlPr>
                </m:sSubPr>
                <m:e>
                  <m:r>
                    <w:rPr>
                      <w:rFonts w:ascii="Cambria Math" w:hAnsi="Cambria Math"/>
                      <w:sz w:val="20"/>
                    </w:rPr>
                    <m:t>α</m:t>
                  </m:r>
                </m:e>
                <m:sub>
                  <m:r>
                    <w:rPr>
                      <w:rFonts w:ascii="Cambria Math" w:hAnsi="Cambria Math"/>
                      <w:sz w:val="20"/>
                    </w:rPr>
                    <m:t>ns</m:t>
                  </m:r>
                </m:sub>
              </m:sSub>
              <m:r>
                <w:rPr>
                  <w:rFonts w:ascii="Cambria Math" w:hAnsi="Cambria Math"/>
                  <w:sz w:val="20"/>
                </w:rPr>
                <m:t>#</m:t>
              </m:r>
              <m:d>
                <m:dPr>
                  <m:ctrlPr>
                    <w:rPr>
                      <w:rFonts w:ascii="Cambria Math" w:hAnsi="Cambria Math"/>
                      <w:iCs/>
                      <w:sz w:val="20"/>
                    </w:rPr>
                  </m:ctrlPr>
                </m:dPr>
                <m:e>
                  <m:r>
                    <m:rPr>
                      <m:sty m:val="p"/>
                    </m:rPr>
                    <w:rPr>
                      <w:rFonts w:ascii="Cambria Math" w:hAnsi="Cambria Math"/>
                      <w:sz w:val="20"/>
                    </w:rPr>
                    <m:t>S7</m:t>
                  </m:r>
                </m:e>
              </m:d>
            </m:e>
          </m:eqArr>
        </m:oMath>
      </m:oMathPara>
    </w:p>
    <w:p w14:paraId="3A47CD2A" w14:textId="77777777" w:rsidR="00474C0F" w:rsidRDefault="00474C0F" w:rsidP="00576D81">
      <w:pPr>
        <w:pStyle w:val="09BodyFirstParagraph"/>
        <w:ind w:firstLineChars="200" w:firstLine="400"/>
      </w:pPr>
      <w:r>
        <w:t>since the linear absorption normally dominates the saturation loss (</w:t>
      </w:r>
      <w:r w:rsidRPr="00DC1EF1">
        <w:rPr>
          <w:i/>
          <w:iCs/>
        </w:rPr>
        <w:t>α</w:t>
      </w:r>
      <w:r w:rsidRPr="00DC1EF1">
        <w:rPr>
          <w:i/>
          <w:iCs/>
          <w:vertAlign w:val="subscript"/>
        </w:rPr>
        <w:t>s</w:t>
      </w:r>
      <w:r w:rsidRPr="00DC1EF1">
        <w:rPr>
          <w:i/>
          <w:iCs/>
        </w:rPr>
        <w:t>≈α</w:t>
      </w:r>
      <w:r w:rsidRPr="00DC1EF1">
        <w:rPr>
          <w:i/>
          <w:iCs/>
          <w:vertAlign w:val="subscript"/>
        </w:rPr>
        <w:t>0</w:t>
      </w:r>
      <w:r>
        <w:t xml:space="preserve">). We notice here that the generalized Fermi-Dirac function </w:t>
      </w:r>
      <w:r w:rsidRPr="000013B7">
        <w:t>T</w:t>
      </w:r>
      <w:r>
        <w:t>(</w:t>
      </w:r>
      <w:r w:rsidRPr="00DC1EF1">
        <w:rPr>
          <w:rFonts w:hint="eastAsia"/>
          <w:i/>
          <w:iCs/>
        </w:rPr>
        <w:t>x</w:t>
      </w:r>
      <w:r>
        <w:t xml:space="preserve">) is still valid to describe such saturation absorption behaviors. The normalized Fermi-Dirac function </w:t>
      </w:r>
      <w:r w:rsidRPr="000013B7">
        <w:t>σ</w:t>
      </w:r>
      <w:r w:rsidRPr="00B25050">
        <w:t>(</w:t>
      </w:r>
      <w:r w:rsidRPr="00EE26F9">
        <w:rPr>
          <w:i/>
          <w:iCs/>
        </w:rPr>
        <w:t>x</w:t>
      </w:r>
      <w:r w:rsidRPr="00B25050">
        <w:t>)</w:t>
      </w:r>
      <w:r>
        <w:t xml:space="preserve"> can be simplified by only remaining the first two terms of Fourier series of </w:t>
      </w:r>
      <w:r w:rsidRPr="00247A1E">
        <w:t>the denominator</w:t>
      </w:r>
    </w:p>
    <w:p w14:paraId="6F969F4B" w14:textId="77777777" w:rsidR="00474C0F" w:rsidRDefault="00474C0F" w:rsidP="00474C0F">
      <w:pPr>
        <w:ind w:firstLineChars="200" w:firstLine="400"/>
        <w:jc w:val="center"/>
        <w:rPr>
          <w:rFonts w:ascii="Times New Roman" w:hAnsi="Times New Roman"/>
          <w:sz w:val="20"/>
        </w:rPr>
      </w:pPr>
      <m:oMath>
        <m:r>
          <w:rPr>
            <w:rFonts w:ascii="Cambria Math" w:hAnsi="Cambria Math"/>
            <w:sz w:val="20"/>
          </w:rPr>
          <m:t>σ</m:t>
        </m:r>
        <m:d>
          <m:dPr>
            <m:ctrlPr>
              <w:rPr>
                <w:rFonts w:ascii="Cambria Math" w:hAnsi="Cambria Math"/>
                <w:i/>
                <w:sz w:val="20"/>
              </w:rPr>
            </m:ctrlPr>
          </m:dPr>
          <m:e>
            <m:r>
              <w:rPr>
                <w:rFonts w:ascii="Cambria Math" w:hAnsi="Cambria Math"/>
                <w:sz w:val="20"/>
              </w:rPr>
              <m:t>x</m:t>
            </m:r>
          </m:e>
        </m:d>
        <m:r>
          <w:rPr>
            <w:rFonts w:ascii="Cambria Math" w:hAnsi="Cambria Math"/>
            <w:sz w:val="20"/>
          </w:rPr>
          <m:t>=</m:t>
        </m:r>
        <m:f>
          <m:fPr>
            <m:ctrlPr>
              <w:rPr>
                <w:rFonts w:ascii="Cambria Math" w:hAnsi="Cambria Math"/>
                <w:i/>
                <w:sz w:val="20"/>
              </w:rPr>
            </m:ctrlPr>
          </m:fPr>
          <m:num>
            <m:r>
              <w:rPr>
                <w:rFonts w:ascii="Cambria Math" w:hAnsi="Cambria Math"/>
                <w:sz w:val="20"/>
              </w:rPr>
              <m:t>1</m:t>
            </m:r>
          </m:num>
          <m:den>
            <m:r>
              <w:rPr>
                <w:rFonts w:ascii="Cambria Math" w:hAnsi="Cambria Math"/>
                <w:sz w:val="20"/>
              </w:rPr>
              <m:t>1+</m:t>
            </m:r>
            <m:sSup>
              <m:sSupPr>
                <m:ctrlPr>
                  <w:rPr>
                    <w:rFonts w:ascii="Cambria Math" w:hAnsi="Cambria Math"/>
                    <w:i/>
                    <w:sz w:val="20"/>
                  </w:rPr>
                </m:ctrlPr>
              </m:sSupPr>
              <m:e>
                <m:r>
                  <w:rPr>
                    <w:rFonts w:ascii="Cambria Math" w:hAnsi="Cambria Math"/>
                    <w:sz w:val="20"/>
                  </w:rPr>
                  <m:t>e</m:t>
                </m:r>
              </m:e>
              <m:sup>
                <m:r>
                  <w:rPr>
                    <w:rFonts w:ascii="Cambria Math" w:hAnsi="Cambria Math"/>
                    <w:sz w:val="20"/>
                  </w:rPr>
                  <m:t>-x</m:t>
                </m:r>
              </m:sup>
            </m:sSup>
          </m:den>
        </m:f>
        <m:r>
          <w:rPr>
            <w:rFonts w:ascii="Cambria Math" w:hAnsi="Cambria Math"/>
            <w:sz w:val="20"/>
          </w:rPr>
          <m:t>=</m:t>
        </m:r>
        <m:f>
          <m:fPr>
            <m:ctrlPr>
              <w:rPr>
                <w:rFonts w:ascii="Cambria Math" w:hAnsi="Cambria Math"/>
                <w:i/>
                <w:sz w:val="20"/>
              </w:rPr>
            </m:ctrlPr>
          </m:fPr>
          <m:num>
            <m:r>
              <w:rPr>
                <w:rFonts w:ascii="Cambria Math" w:hAnsi="Cambria Math"/>
                <w:sz w:val="20"/>
              </w:rPr>
              <m:t>1</m:t>
            </m:r>
          </m:num>
          <m:den>
            <m:r>
              <w:rPr>
                <w:rFonts w:ascii="Cambria Math" w:hAnsi="Cambria Math"/>
                <w:sz w:val="20"/>
              </w:rPr>
              <m:t>1+</m:t>
            </m:r>
            <m:nary>
              <m:naryPr>
                <m:chr m:val="∑"/>
                <m:limLoc m:val="undOvr"/>
                <m:ctrlPr>
                  <w:rPr>
                    <w:rFonts w:ascii="Cambria Math" w:hAnsi="Cambria Math"/>
                    <w:i/>
                    <w:sz w:val="20"/>
                  </w:rPr>
                </m:ctrlPr>
              </m:naryPr>
              <m:sub>
                <m:r>
                  <w:rPr>
                    <w:rFonts w:ascii="Cambria Math" w:hAnsi="Cambria Math"/>
                    <w:sz w:val="20"/>
                  </w:rPr>
                  <m:t>k=0</m:t>
                </m:r>
              </m:sub>
              <m:sup>
                <m:r>
                  <w:rPr>
                    <w:rFonts w:ascii="Cambria Math" w:hAnsi="Cambria Math"/>
                    <w:sz w:val="20"/>
                  </w:rPr>
                  <m:t>∞</m:t>
                </m:r>
              </m:sup>
              <m:e>
                <m:f>
                  <m:fPr>
                    <m:ctrlPr>
                      <w:rPr>
                        <w:rFonts w:ascii="Cambria Math" w:hAnsi="Cambria Math"/>
                        <w:i/>
                        <w:sz w:val="20"/>
                      </w:rPr>
                    </m:ctrlPr>
                  </m:fPr>
                  <m:num>
                    <m:sSup>
                      <m:sSupPr>
                        <m:ctrlPr>
                          <w:rPr>
                            <w:rFonts w:ascii="Cambria Math" w:hAnsi="Cambria Math"/>
                            <w:i/>
                            <w:sz w:val="20"/>
                          </w:rPr>
                        </m:ctrlPr>
                      </m:sSupPr>
                      <m:e>
                        <m:d>
                          <m:dPr>
                            <m:ctrlPr>
                              <w:rPr>
                                <w:rFonts w:ascii="Cambria Math" w:hAnsi="Cambria Math"/>
                                <w:i/>
                                <w:sz w:val="20"/>
                              </w:rPr>
                            </m:ctrlPr>
                          </m:dPr>
                          <m:e>
                            <m:r>
                              <w:rPr>
                                <w:rFonts w:ascii="Cambria Math" w:hAnsi="Cambria Math"/>
                                <w:sz w:val="20"/>
                              </w:rPr>
                              <m:t>-x</m:t>
                            </m:r>
                          </m:e>
                        </m:d>
                      </m:e>
                      <m:sup>
                        <m:r>
                          <w:rPr>
                            <w:rFonts w:ascii="Cambria Math" w:hAnsi="Cambria Math"/>
                            <w:sz w:val="20"/>
                          </w:rPr>
                          <m:t>k</m:t>
                        </m:r>
                      </m:sup>
                    </m:sSup>
                  </m:num>
                  <m:den>
                    <m:r>
                      <w:rPr>
                        <w:rFonts w:ascii="Cambria Math" w:hAnsi="Cambria Math"/>
                        <w:sz w:val="20"/>
                      </w:rPr>
                      <m:t>k!</m:t>
                    </m:r>
                  </m:den>
                </m:f>
              </m:e>
            </m:nary>
          </m:den>
        </m:f>
        <m:r>
          <w:rPr>
            <w:rFonts w:ascii="Cambria Math" w:hAnsi="Cambria Math"/>
            <w:sz w:val="20"/>
          </w:rPr>
          <m:t>=</m:t>
        </m:r>
        <m:f>
          <m:fPr>
            <m:ctrlPr>
              <w:rPr>
                <w:rFonts w:ascii="Cambria Math" w:hAnsi="Cambria Math"/>
                <w:i/>
                <w:sz w:val="20"/>
              </w:rPr>
            </m:ctrlPr>
          </m:fPr>
          <m:num>
            <m:r>
              <w:rPr>
                <w:rFonts w:ascii="Cambria Math" w:hAnsi="Cambria Math"/>
                <w:sz w:val="20"/>
              </w:rPr>
              <m:t>1</m:t>
            </m:r>
          </m:num>
          <m:den>
            <m:r>
              <w:rPr>
                <w:rFonts w:ascii="Cambria Math" w:hAnsi="Cambria Math"/>
                <w:sz w:val="20"/>
              </w:rPr>
              <m:t>1+1-x+O</m:t>
            </m:r>
            <m:d>
              <m:dPr>
                <m:ctrlPr>
                  <w:rPr>
                    <w:rFonts w:ascii="Cambria Math" w:hAnsi="Cambria Math"/>
                    <w:i/>
                    <w:sz w:val="20"/>
                  </w:rPr>
                </m:ctrlPr>
              </m:dPr>
              <m:e>
                <m:sSup>
                  <m:sSupPr>
                    <m:ctrlPr>
                      <w:rPr>
                        <w:rFonts w:ascii="Cambria Math" w:hAnsi="Cambria Math"/>
                        <w:i/>
                        <w:sz w:val="20"/>
                      </w:rPr>
                    </m:ctrlPr>
                  </m:sSupPr>
                  <m:e>
                    <m:r>
                      <w:rPr>
                        <w:rFonts w:ascii="Cambria Math" w:hAnsi="Cambria Math"/>
                        <w:sz w:val="20"/>
                      </w:rPr>
                      <m:t>x</m:t>
                    </m:r>
                  </m:e>
                  <m:sup>
                    <m:r>
                      <w:rPr>
                        <w:rFonts w:ascii="Cambria Math" w:hAnsi="Cambria Math"/>
                        <w:sz w:val="20"/>
                      </w:rPr>
                      <m:t>2</m:t>
                    </m:r>
                  </m:sup>
                </m:sSup>
              </m:e>
            </m:d>
          </m:den>
        </m:f>
        <m:r>
          <w:rPr>
            <w:rFonts w:ascii="Cambria Math" w:hAnsi="Cambria Math"/>
            <w:sz w:val="20"/>
          </w:rPr>
          <m:t>≈</m:t>
        </m:r>
        <m:f>
          <m:fPr>
            <m:ctrlPr>
              <w:rPr>
                <w:rFonts w:ascii="Cambria Math" w:hAnsi="Cambria Math"/>
                <w:i/>
                <w:sz w:val="20"/>
              </w:rPr>
            </m:ctrlPr>
          </m:fPr>
          <m:num>
            <m:r>
              <w:rPr>
                <w:rFonts w:ascii="Cambria Math" w:hAnsi="Cambria Math"/>
                <w:sz w:val="20"/>
              </w:rPr>
              <m:t>1</m:t>
            </m:r>
          </m:num>
          <m:den>
            <m:r>
              <w:rPr>
                <w:rFonts w:ascii="Cambria Math" w:hAnsi="Cambria Math"/>
                <w:sz w:val="20"/>
              </w:rPr>
              <m:t>2-x</m:t>
            </m:r>
          </m:den>
        </m:f>
      </m:oMath>
      <w:r>
        <w:rPr>
          <w:rFonts w:ascii="Times New Roman" w:hAnsi="Times New Roman" w:hint="eastAsia"/>
          <w:sz w:val="20"/>
        </w:rPr>
        <w:t xml:space="preserve"> </w:t>
      </w:r>
      <w:r>
        <w:rPr>
          <w:rFonts w:ascii="Times New Roman" w:hAnsi="Times New Roman"/>
          <w:sz w:val="20"/>
        </w:rPr>
        <w:t xml:space="preserve"> for </w:t>
      </w:r>
      <m:oMath>
        <m:r>
          <w:rPr>
            <w:rFonts w:ascii="Cambria Math" w:hAnsi="Cambria Math"/>
            <w:sz w:val="20"/>
          </w:rPr>
          <m:t>x∈</m:t>
        </m:r>
        <m:d>
          <m:dPr>
            <m:begChr m:val="["/>
            <m:endChr m:val="]"/>
            <m:ctrlPr>
              <w:rPr>
                <w:rFonts w:ascii="Cambria Math" w:hAnsi="Cambria Math"/>
                <w:i/>
                <w:sz w:val="20"/>
              </w:rPr>
            </m:ctrlPr>
          </m:dPr>
          <m:e>
            <m:r>
              <w:rPr>
                <w:rFonts w:ascii="Cambria Math" w:hAnsi="Cambria Math"/>
                <w:sz w:val="20"/>
              </w:rPr>
              <m:t>-1,1</m:t>
            </m:r>
          </m:e>
        </m:d>
      </m:oMath>
    </w:p>
    <w:p w14:paraId="0069F4B0" w14:textId="77777777" w:rsidR="00474C0F" w:rsidRDefault="00474C0F" w:rsidP="00576D81">
      <w:pPr>
        <w:pStyle w:val="09BodyFirstParagraph"/>
        <w:ind w:firstLineChars="200" w:firstLine="400"/>
      </w:pPr>
      <w:r>
        <w:rPr>
          <w:rFonts w:hint="eastAsia"/>
        </w:rPr>
        <w:t>T</w:t>
      </w:r>
      <w:r>
        <w:t xml:space="preserve">hus, </w:t>
      </w:r>
      <w:r w:rsidRPr="001D7461">
        <w:rPr>
          <w:i/>
          <w:iCs/>
        </w:rPr>
        <w:t>T(</w:t>
      </w:r>
      <w:r w:rsidRPr="001D7461">
        <w:rPr>
          <w:rFonts w:hint="eastAsia"/>
          <w:i/>
          <w:iCs/>
        </w:rPr>
        <w:t>x</w:t>
      </w:r>
      <w:r w:rsidRPr="001D7461">
        <w:rPr>
          <w:i/>
          <w:iCs/>
        </w:rPr>
        <w:t>)</w:t>
      </w:r>
      <w:r>
        <w:t xml:space="preserve"> can be expressed in a similar form as equation (S7) as</w:t>
      </w:r>
    </w:p>
    <w:p w14:paraId="7BDCC1E6" w14:textId="77777777" w:rsidR="00474C0F" w:rsidRPr="00996C36" w:rsidRDefault="00474C0F" w:rsidP="00474C0F">
      <w:pPr>
        <w:rPr>
          <w:rFonts w:ascii="Times New Roman" w:hAnsi="Times New Roman"/>
          <w:sz w:val="20"/>
        </w:rPr>
      </w:pPr>
      <m:oMathPara>
        <m:oMath>
          <m:r>
            <w:rPr>
              <w:rFonts w:ascii="Cambria Math" w:hAnsi="Cambria Math"/>
              <w:sz w:val="20"/>
            </w:rPr>
            <m:t>T</m:t>
          </m:r>
          <m:d>
            <m:dPr>
              <m:ctrlPr>
                <w:rPr>
                  <w:rFonts w:ascii="Cambria Math" w:hAnsi="Cambria Math"/>
                  <w:i/>
                  <w:sz w:val="20"/>
                </w:rPr>
              </m:ctrlPr>
            </m:dPr>
            <m:e>
              <m:f>
                <m:fPr>
                  <m:type m:val="lin"/>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I</m:t>
                      </m:r>
                    </m:e>
                    <m:sub>
                      <m:r>
                        <w:rPr>
                          <w:rFonts w:ascii="Cambria Math" w:hAnsi="Cambria Math"/>
                          <w:sz w:val="20"/>
                        </w:rPr>
                        <m:t>0</m:t>
                      </m:r>
                    </m:sub>
                  </m:sSub>
                </m:num>
                <m:den>
                  <m:sSub>
                    <m:sSubPr>
                      <m:ctrlPr>
                        <w:rPr>
                          <w:rFonts w:ascii="Cambria Math" w:hAnsi="Cambria Math"/>
                          <w:i/>
                          <w:sz w:val="20"/>
                        </w:rPr>
                      </m:ctrlPr>
                    </m:sSubPr>
                    <m:e>
                      <m:r>
                        <w:rPr>
                          <w:rFonts w:ascii="Cambria Math" w:hAnsi="Cambria Math"/>
                          <w:sz w:val="20"/>
                        </w:rPr>
                        <m:t>I</m:t>
                      </m:r>
                    </m:e>
                    <m:sub>
                      <m:r>
                        <w:rPr>
                          <w:rFonts w:ascii="Cambria Math" w:hAnsi="Cambria Math"/>
                          <w:sz w:val="20"/>
                        </w:rPr>
                        <m:t>sat</m:t>
                      </m:r>
                    </m:sub>
                  </m:sSub>
                </m:den>
              </m:f>
            </m:e>
          </m:d>
          <m:r>
            <w:rPr>
              <w:rFonts w:ascii="Cambria Math" w:hAnsi="Cambria Math"/>
              <w:sz w:val="20"/>
            </w:rPr>
            <m:t>=</m:t>
          </m:r>
          <m:f>
            <m:fPr>
              <m:ctrlPr>
                <w:rPr>
                  <w:rFonts w:ascii="Cambria Math" w:hAnsi="Cambria Math"/>
                  <w:i/>
                  <w:sz w:val="20"/>
                </w:rPr>
              </m:ctrlPr>
            </m:fPr>
            <m:num>
              <m:sSubSup>
                <m:sSubSupPr>
                  <m:ctrlPr>
                    <w:rPr>
                      <w:rFonts w:ascii="Cambria Math" w:hAnsi="Cambria Math"/>
                      <w:i/>
                      <w:sz w:val="20"/>
                    </w:rPr>
                  </m:ctrlPr>
                </m:sSubSupPr>
                <m:e>
                  <m:r>
                    <w:rPr>
                      <w:rFonts w:ascii="Cambria Math" w:hAnsi="Cambria Math"/>
                      <w:sz w:val="20"/>
                    </w:rPr>
                    <m:t>α</m:t>
                  </m:r>
                </m:e>
                <m:sub>
                  <m:r>
                    <w:rPr>
                      <w:rFonts w:ascii="Cambria Math" w:hAnsi="Cambria Math"/>
                      <w:sz w:val="20"/>
                    </w:rPr>
                    <m:t>0</m:t>
                  </m:r>
                </m:sub>
                <m:sup>
                  <m:r>
                    <w:rPr>
                      <w:rFonts w:ascii="Cambria Math" w:hAnsi="Cambria Math"/>
                      <w:sz w:val="20"/>
                    </w:rPr>
                    <m:t>'</m:t>
                  </m:r>
                </m:sup>
              </m:sSubSup>
            </m:num>
            <m:den>
              <m:r>
                <w:rPr>
                  <w:rFonts w:ascii="Cambria Math" w:hAnsi="Cambria Math"/>
                  <w:sz w:val="20"/>
                </w:rPr>
                <m:t>1+</m:t>
              </m:r>
              <m:f>
                <m:fPr>
                  <m:type m:val="lin"/>
                  <m:ctrlPr>
                    <w:rPr>
                      <w:rFonts w:ascii="Cambria Math" w:hAnsi="Cambria Math"/>
                      <w:i/>
                      <w:sz w:val="20"/>
                    </w:rPr>
                  </m:ctrlPr>
                </m:fPr>
                <m:num>
                  <m:sSub>
                    <m:sSubPr>
                      <m:ctrlPr>
                        <w:rPr>
                          <w:rFonts w:ascii="Cambria Math" w:hAnsi="Cambria Math"/>
                          <w:iCs/>
                          <w:sz w:val="20"/>
                        </w:rPr>
                      </m:ctrlPr>
                    </m:sSubPr>
                    <m:e>
                      <m:r>
                        <m:rPr>
                          <m:sty m:val="p"/>
                        </m:rPr>
                        <w:rPr>
                          <w:rFonts w:ascii="Cambria Math" w:hAnsi="Cambria Math"/>
                          <w:sz w:val="20"/>
                        </w:rPr>
                        <m:t>I</m:t>
                      </m:r>
                    </m:e>
                    <m:sub>
                      <m:r>
                        <m:rPr>
                          <m:sty m:val="p"/>
                        </m:rPr>
                        <w:rPr>
                          <w:rFonts w:ascii="Cambria Math" w:hAnsi="Cambria Math"/>
                          <w:sz w:val="20"/>
                        </w:rPr>
                        <m:t>0</m:t>
                      </m:r>
                    </m:sub>
                  </m:sSub>
                </m:num>
                <m:den>
                  <m:sSub>
                    <m:sSubPr>
                      <m:ctrlPr>
                        <w:rPr>
                          <w:rFonts w:ascii="Cambria Math" w:hAnsi="Cambria Math"/>
                          <w:iCs/>
                          <w:sz w:val="20"/>
                        </w:rPr>
                      </m:ctrlPr>
                    </m:sSubPr>
                    <m:e>
                      <m:r>
                        <m:rPr>
                          <m:sty m:val="p"/>
                        </m:rPr>
                        <w:rPr>
                          <w:rFonts w:ascii="Cambria Math" w:hAnsi="Cambria Math"/>
                          <w:sz w:val="20"/>
                        </w:rPr>
                        <m:t>I</m:t>
                      </m:r>
                    </m:e>
                    <m:sub>
                      <m:r>
                        <m:rPr>
                          <m:sty m:val="p"/>
                        </m:rPr>
                        <w:rPr>
                          <w:rFonts w:ascii="Cambria Math" w:hAnsi="Cambria Math"/>
                          <w:sz w:val="20"/>
                        </w:rPr>
                        <m:t>sat</m:t>
                      </m:r>
                    </m:sub>
                  </m:sSub>
                </m:den>
              </m:f>
            </m:den>
          </m:f>
          <m:r>
            <w:rPr>
              <w:rFonts w:ascii="Cambria Math" w:hAnsi="Cambria Math"/>
              <w:sz w:val="20"/>
            </w:rPr>
            <m:t>+</m:t>
          </m:r>
          <m:sSubSup>
            <m:sSubSupPr>
              <m:ctrlPr>
                <w:rPr>
                  <w:rFonts w:ascii="Cambria Math" w:hAnsi="Cambria Math"/>
                  <w:i/>
                  <w:sz w:val="20"/>
                </w:rPr>
              </m:ctrlPr>
            </m:sSubSupPr>
            <m:e>
              <m:r>
                <w:rPr>
                  <w:rFonts w:ascii="Cambria Math" w:hAnsi="Cambria Math"/>
                  <w:sz w:val="20"/>
                </w:rPr>
                <m:t>α</m:t>
              </m:r>
            </m:e>
            <m:sub>
              <m:r>
                <w:rPr>
                  <w:rFonts w:ascii="Cambria Math" w:hAnsi="Cambria Math"/>
                  <w:sz w:val="20"/>
                </w:rPr>
                <m:t>ns</m:t>
              </m:r>
            </m:sub>
            <m:sup>
              <m:r>
                <w:rPr>
                  <w:rFonts w:ascii="Cambria Math" w:hAnsi="Cambria Math"/>
                  <w:sz w:val="20"/>
                </w:rPr>
                <m:t>'</m:t>
              </m:r>
            </m:sup>
          </m:sSubSup>
        </m:oMath>
      </m:oMathPara>
      <w:bookmarkEnd w:id="7"/>
    </w:p>
    <w:p w14:paraId="258F178F" w14:textId="77777777" w:rsidR="00202883" w:rsidRDefault="00202883" w:rsidP="001D7461">
      <w:pPr>
        <w:pStyle w:val="08SectionHeader10"/>
      </w:pPr>
      <w:bookmarkStart w:id="9" w:name="_Toc92435873"/>
    </w:p>
    <w:p w14:paraId="57717192" w14:textId="77777777" w:rsidR="00202883" w:rsidRDefault="00202883" w:rsidP="001D7461">
      <w:pPr>
        <w:pStyle w:val="08SectionHeader10"/>
      </w:pPr>
    </w:p>
    <w:p w14:paraId="4221C82E" w14:textId="7D87A27C" w:rsidR="00474C0F" w:rsidRPr="001D7461" w:rsidRDefault="00474C0F" w:rsidP="001D7461">
      <w:pPr>
        <w:pStyle w:val="08SectionHeader10"/>
      </w:pPr>
      <w:r w:rsidRPr="00CD3D08">
        <w:lastRenderedPageBreak/>
        <w:t>7. Soliton mode-locking at 2 μm</w:t>
      </w:r>
      <w:bookmarkEnd w:id="9"/>
    </w:p>
    <w:p w14:paraId="2509643B" w14:textId="77777777" w:rsidR="00474C0F" w:rsidRDefault="00474C0F" w:rsidP="00CD3D08">
      <w:pPr>
        <w:spacing w:before="120" w:after="0"/>
        <w:jc w:val="center"/>
        <w:rPr>
          <w:rFonts w:ascii="Times New Roman" w:hAnsi="Times New Roman"/>
          <w:sz w:val="20"/>
        </w:rPr>
      </w:pPr>
      <w:r>
        <w:rPr>
          <w:rFonts w:ascii="Times New Roman" w:hAnsi="Times New Roman"/>
          <w:noProof/>
          <w:sz w:val="20"/>
        </w:rPr>
        <w:drawing>
          <wp:inline distT="0" distB="0" distL="0" distR="0" wp14:anchorId="4AEF9B7B" wp14:editId="123D6CE8">
            <wp:extent cx="4165525" cy="2120900"/>
            <wp:effectExtent l="0" t="0" r="6985" b="0"/>
            <wp:docPr id="4" name="Picture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图示&#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72458" cy="2124430"/>
                    </a:xfrm>
                    <a:prstGeom prst="rect">
                      <a:avLst/>
                    </a:prstGeom>
                  </pic:spPr>
                </pic:pic>
              </a:graphicData>
            </a:graphic>
          </wp:inline>
        </w:drawing>
      </w:r>
    </w:p>
    <w:p w14:paraId="7456E4E7" w14:textId="0AD0CF53" w:rsidR="00474C0F" w:rsidRPr="00A32E35" w:rsidRDefault="00474C0F" w:rsidP="00DF59C2">
      <w:pPr>
        <w:pStyle w:val="12FigureCaptionShort"/>
        <w:jc w:val="both"/>
        <w:rPr>
          <w:rFonts w:ascii="Arial" w:hAnsi="Arial" w:cs="Arial"/>
        </w:rPr>
      </w:pPr>
      <w:r w:rsidRPr="00A32E35">
        <w:rPr>
          <w:rFonts w:ascii="Arial" w:hAnsi="Arial" w:cs="Arial"/>
        </w:rPr>
        <w:t>Fig</w:t>
      </w:r>
      <w:r w:rsidR="00CD3D08" w:rsidRPr="00A32E35">
        <w:rPr>
          <w:rFonts w:ascii="Arial" w:hAnsi="Arial" w:cs="Arial"/>
        </w:rPr>
        <w:t>.</w:t>
      </w:r>
      <w:r w:rsidRPr="00A32E35">
        <w:rPr>
          <w:rFonts w:ascii="Arial" w:hAnsi="Arial" w:cs="Arial"/>
        </w:rPr>
        <w:t xml:space="preserve"> S</w:t>
      </w:r>
      <w:r w:rsidR="008904A5" w:rsidRPr="00A32E35">
        <w:rPr>
          <w:rFonts w:ascii="Arial" w:hAnsi="Arial" w:cs="Arial"/>
        </w:rPr>
        <w:t>8</w:t>
      </w:r>
      <w:r w:rsidRPr="00A32E35">
        <w:rPr>
          <w:rFonts w:ascii="Arial" w:hAnsi="Arial" w:cs="Arial"/>
        </w:rPr>
        <w:t xml:space="preserve">. Scheme of a home-built ultrafast thulium-doped </w:t>
      </w:r>
      <w:r w:rsidR="00F03760">
        <w:rPr>
          <w:rFonts w:ascii="Arial" w:hAnsi="Arial" w:cs="Arial"/>
        </w:rPr>
        <w:t>fibre</w:t>
      </w:r>
      <w:r w:rsidRPr="00A32E35">
        <w:rPr>
          <w:rFonts w:ascii="Arial" w:hAnsi="Arial" w:cs="Arial"/>
        </w:rPr>
        <w:t xml:space="preserve"> laser integrating a </w:t>
      </w:r>
      <w:r w:rsidR="00F03760">
        <w:rPr>
          <w:rFonts w:ascii="Arial" w:hAnsi="Arial" w:cs="Arial"/>
        </w:rPr>
        <w:t>metafiber</w:t>
      </w:r>
      <w:r w:rsidRPr="00A32E35">
        <w:rPr>
          <w:rFonts w:ascii="Arial" w:hAnsi="Arial" w:cs="Arial"/>
        </w:rPr>
        <w:t xml:space="preserve"> SA, where LD represents the laser diode, WDM is the wavelength-division multiplexer, TDF is the thulium-doped </w:t>
      </w:r>
      <w:r w:rsidR="00F03760">
        <w:rPr>
          <w:rFonts w:ascii="Arial" w:hAnsi="Arial" w:cs="Arial"/>
        </w:rPr>
        <w:t>fibre</w:t>
      </w:r>
      <w:r w:rsidRPr="00A32E35">
        <w:rPr>
          <w:rFonts w:ascii="Arial" w:hAnsi="Arial" w:cs="Arial"/>
        </w:rPr>
        <w:t xml:space="preserve">, ISO is the optical isolator, OFC is the output </w:t>
      </w:r>
      <w:r w:rsidR="00F03760">
        <w:rPr>
          <w:rFonts w:ascii="Arial" w:hAnsi="Arial" w:cs="Arial"/>
        </w:rPr>
        <w:t>fibre</w:t>
      </w:r>
      <w:r w:rsidRPr="00A32E35">
        <w:rPr>
          <w:rFonts w:ascii="Arial" w:hAnsi="Arial" w:cs="Arial"/>
        </w:rPr>
        <w:t xml:space="preserve"> coupler, SMF is the single-mode </w:t>
      </w:r>
      <w:r w:rsidR="00F03760">
        <w:rPr>
          <w:rFonts w:ascii="Arial" w:hAnsi="Arial" w:cs="Arial"/>
        </w:rPr>
        <w:t>fibre</w:t>
      </w:r>
      <w:r w:rsidRPr="00A32E35">
        <w:rPr>
          <w:rFonts w:ascii="Arial" w:hAnsi="Arial" w:cs="Arial"/>
        </w:rPr>
        <w:t>, PC is the polarization controller.</w:t>
      </w:r>
    </w:p>
    <w:p w14:paraId="449857F8" w14:textId="2B8639AF" w:rsidR="00474C0F" w:rsidRPr="009403B4" w:rsidRDefault="00474C0F" w:rsidP="001075E7">
      <w:pPr>
        <w:pStyle w:val="09BodyFirstParagraph"/>
        <w:rPr>
          <w:color w:val="0070C0"/>
        </w:rPr>
      </w:pPr>
      <w:r>
        <w:t>A</w:t>
      </w:r>
      <w:r w:rsidRPr="00666CC4">
        <w:t xml:space="preserve"> </w:t>
      </w:r>
      <w:r w:rsidR="00F03760">
        <w:t>fibre</w:t>
      </w:r>
      <w:r w:rsidRPr="00666CC4">
        <w:t xml:space="preserve"> cavity shown in Fig. </w:t>
      </w:r>
      <w:r>
        <w:t>S</w:t>
      </w:r>
      <w:r w:rsidR="008904A5">
        <w:t>8</w:t>
      </w:r>
      <w:r>
        <w:t xml:space="preserve"> is built</w:t>
      </w:r>
      <w:r w:rsidRPr="00666CC4">
        <w:t xml:space="preserve">, which includes a </w:t>
      </w:r>
      <w:r w:rsidRPr="00363A92">
        <w:t>1550 nm</w:t>
      </w:r>
      <w:r w:rsidRPr="00666CC4">
        <w:t xml:space="preserve"> pump</w:t>
      </w:r>
      <w:r>
        <w:t>ing laser</w:t>
      </w:r>
      <w:r w:rsidRPr="00666CC4">
        <w:t xml:space="preserve"> diode (LD), a </w:t>
      </w:r>
      <w:r w:rsidRPr="00363A92">
        <w:t>1560/2000 nm</w:t>
      </w:r>
      <w:r w:rsidRPr="00666CC4">
        <w:t xml:space="preserve"> wavelength multiplexer (WDM), </w:t>
      </w:r>
      <w:r w:rsidRPr="00363A92">
        <w:t xml:space="preserve">10 cm thulium doped </w:t>
      </w:r>
      <w:r w:rsidR="00F03760">
        <w:t>fibre</w:t>
      </w:r>
      <w:r w:rsidRPr="00363A92">
        <w:t xml:space="preserve"> (</w:t>
      </w:r>
      <w:r>
        <w:t xml:space="preserve">TDF, </w:t>
      </w:r>
      <w:r w:rsidRPr="00363A92">
        <w:t>SM-TSF-5/125)</w:t>
      </w:r>
      <w:r w:rsidRPr="00666CC4">
        <w:t xml:space="preserve">, a polarization-insensitive isolator (ISO), a polarization controller (PC), and an output </w:t>
      </w:r>
      <w:r w:rsidR="00F03760">
        <w:t>fibre</w:t>
      </w:r>
      <w:r>
        <w:t xml:space="preserve"> </w:t>
      </w:r>
      <w:r w:rsidRPr="00666CC4">
        <w:t>coupler</w:t>
      </w:r>
      <w:r>
        <w:t xml:space="preserve"> (OFC)</w:t>
      </w:r>
      <w:r w:rsidRPr="00666CC4">
        <w:t xml:space="preserve">. </w:t>
      </w:r>
      <w:r>
        <w:t xml:space="preserve">The coupler extracts 10% of the laser energy for the pulse characterizations. </w:t>
      </w:r>
      <w:r w:rsidRPr="00666CC4">
        <w:t xml:space="preserve">The overall length of the cavity is </w:t>
      </w:r>
      <w:r>
        <w:t xml:space="preserve">14.9 </w:t>
      </w:r>
      <w:r w:rsidRPr="00666CC4">
        <w:t xml:space="preserve">m with anomalous net chromatic dispersion, and all of the </w:t>
      </w:r>
      <w:r w:rsidR="00F03760">
        <w:t>fibre</w:t>
      </w:r>
      <w:r w:rsidRPr="00666CC4">
        <w:t xml:space="preserve"> connections are made with standard </w:t>
      </w:r>
      <w:r>
        <w:t xml:space="preserve">single-mode </w:t>
      </w:r>
      <w:r w:rsidR="00F03760">
        <w:t>fibre</w:t>
      </w:r>
      <w:r>
        <w:t>s (SMFs, 11.5m long)</w:t>
      </w:r>
      <w:r w:rsidRPr="00666CC4">
        <w:t>.</w:t>
      </w:r>
      <w:r>
        <w:t xml:space="preserve"> </w:t>
      </w:r>
      <w:r w:rsidRPr="00363A92">
        <w:t xml:space="preserve">An InGaAs PIN detector (Newport, 818-BB-51F) </w:t>
      </w:r>
      <w:r>
        <w:t>is</w:t>
      </w:r>
      <w:r w:rsidRPr="00363A92">
        <w:t xml:space="preserve"> employed to monitor the output signal.</w:t>
      </w:r>
    </w:p>
    <w:p w14:paraId="2373AE38" w14:textId="77777777" w:rsidR="00474C0F" w:rsidRDefault="00474C0F" w:rsidP="00CD3D08">
      <w:pPr>
        <w:spacing w:before="120" w:after="0"/>
        <w:jc w:val="center"/>
        <w:rPr>
          <w:rFonts w:ascii="Times New Roman" w:hAnsi="Times New Roman"/>
          <w:sz w:val="20"/>
        </w:rPr>
      </w:pPr>
      <w:r>
        <w:rPr>
          <w:rFonts w:ascii="Times New Roman" w:hAnsi="Times New Roman"/>
          <w:noProof/>
          <w:sz w:val="20"/>
        </w:rPr>
        <w:drawing>
          <wp:inline distT="0" distB="0" distL="0" distR="0" wp14:anchorId="7A4DA664" wp14:editId="7E6DD8AF">
            <wp:extent cx="3831981" cy="1709266"/>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31981" cy="1709266"/>
                    </a:xfrm>
                    <a:prstGeom prst="rect">
                      <a:avLst/>
                    </a:prstGeom>
                  </pic:spPr>
                </pic:pic>
              </a:graphicData>
            </a:graphic>
          </wp:inline>
        </w:drawing>
      </w:r>
    </w:p>
    <w:p w14:paraId="27EF6E1E" w14:textId="48B3B3D6" w:rsidR="00474C0F" w:rsidRPr="00A32E35" w:rsidRDefault="00474C0F" w:rsidP="004D0EEF">
      <w:pPr>
        <w:pStyle w:val="12FigureCaptionShort"/>
        <w:jc w:val="both"/>
        <w:rPr>
          <w:rFonts w:ascii="Arial" w:hAnsi="Arial" w:cs="Arial"/>
        </w:rPr>
      </w:pPr>
      <w:r w:rsidRPr="00A32E35">
        <w:rPr>
          <w:rFonts w:ascii="Arial" w:hAnsi="Arial" w:cs="Arial"/>
        </w:rPr>
        <w:t>Fig</w:t>
      </w:r>
      <w:r w:rsidR="00E8231A" w:rsidRPr="00A32E35">
        <w:rPr>
          <w:rFonts w:ascii="Arial" w:hAnsi="Arial" w:cs="Arial"/>
        </w:rPr>
        <w:t>.</w:t>
      </w:r>
      <w:r w:rsidRPr="00A32E35">
        <w:rPr>
          <w:rFonts w:ascii="Arial" w:hAnsi="Arial" w:cs="Arial"/>
        </w:rPr>
        <w:t xml:space="preserve"> S</w:t>
      </w:r>
      <w:r w:rsidR="008904A5" w:rsidRPr="00A32E35">
        <w:rPr>
          <w:rFonts w:ascii="Arial" w:hAnsi="Arial" w:cs="Arial"/>
        </w:rPr>
        <w:t>9</w:t>
      </w:r>
      <w:r w:rsidRPr="00A32E35">
        <w:rPr>
          <w:rFonts w:ascii="Arial" w:hAnsi="Arial" w:cs="Arial"/>
        </w:rPr>
        <w:t xml:space="preserve">. Soliton mode-locking at 2 μm of a home-built </w:t>
      </w:r>
      <w:r w:rsidR="00F03760">
        <w:rPr>
          <w:rFonts w:ascii="Arial" w:hAnsi="Arial" w:cs="Arial"/>
        </w:rPr>
        <w:t>fibre</w:t>
      </w:r>
      <w:r w:rsidRPr="00A32E35">
        <w:rPr>
          <w:rFonts w:ascii="Arial" w:hAnsi="Arial" w:cs="Arial"/>
        </w:rPr>
        <w:t xml:space="preserve"> laser integrating a plasmonic </w:t>
      </w:r>
      <w:r w:rsidR="00F03760">
        <w:rPr>
          <w:rFonts w:ascii="Arial" w:hAnsi="Arial" w:cs="Arial"/>
        </w:rPr>
        <w:t>metafiber</w:t>
      </w:r>
      <w:r w:rsidRPr="00A32E35">
        <w:rPr>
          <w:rFonts w:ascii="Arial" w:hAnsi="Arial" w:cs="Arial"/>
        </w:rPr>
        <w:t xml:space="preserve">. (a) Averaged output power of a home-buit 2 μm </w:t>
      </w:r>
      <w:r w:rsidR="00F03760">
        <w:rPr>
          <w:rFonts w:ascii="Arial" w:hAnsi="Arial" w:cs="Arial"/>
        </w:rPr>
        <w:t>fibre</w:t>
      </w:r>
      <w:r w:rsidRPr="00A32E35">
        <w:rPr>
          <w:rFonts w:ascii="Arial" w:hAnsi="Arial" w:cs="Arial"/>
        </w:rPr>
        <w:t xml:space="preserve"> laser as functions of the pump power. (b) RF spectra of the soliton pulses with a scanning range of 2 MHz and a resolution of 300 Hz. Inset shows the RF spectra of the soliton pulses with a scanning range of 0-0.6 GHz and a resolution of 10 KHz.</w:t>
      </w:r>
    </w:p>
    <w:p w14:paraId="27602B39" w14:textId="3349A0B8" w:rsidR="00474C0F" w:rsidRDefault="00474C0F" w:rsidP="00FE6912">
      <w:pPr>
        <w:pStyle w:val="09BodyFirstParagraph"/>
        <w:ind w:firstLineChars="200" w:firstLine="400"/>
      </w:pPr>
      <w:r w:rsidRPr="002220C8">
        <w:t xml:space="preserve">When the </w:t>
      </w:r>
      <w:r w:rsidR="00F03760">
        <w:t>metafiber</w:t>
      </w:r>
      <w:r w:rsidRPr="002220C8">
        <w:t xml:space="preserve"> is implemented in the </w:t>
      </w:r>
      <w:r w:rsidR="00F03760">
        <w:t>fibre</w:t>
      </w:r>
      <w:r w:rsidRPr="002220C8">
        <w:t xml:space="preserve"> laser cavity, stable mode locking is achieved by increasing the pump power and tuning the polarization controller. Fig</w:t>
      </w:r>
      <w:r>
        <w:t xml:space="preserve">. </w:t>
      </w:r>
      <w:r w:rsidRPr="002220C8">
        <w:t>S</w:t>
      </w:r>
      <w:r w:rsidR="008904A5">
        <w:t>9</w:t>
      </w:r>
      <w:r>
        <w:t>(</w:t>
      </w:r>
      <w:r w:rsidRPr="002220C8">
        <w:t>a</w:t>
      </w:r>
      <w:r>
        <w:t>)</w:t>
      </w:r>
      <w:r w:rsidRPr="002220C8">
        <w:t xml:space="preserve"> shows the laser conversion efficiency is ~1.2% </w:t>
      </w:r>
      <w:r>
        <w:t>for the</w:t>
      </w:r>
      <w:r w:rsidRPr="002220C8">
        <w:t xml:space="preserve"> </w:t>
      </w:r>
      <w:r w:rsidR="00F03760">
        <w:t>metafiber</w:t>
      </w:r>
      <w:r w:rsidRPr="002220C8">
        <w:t xml:space="preserve">. The pump power of </w:t>
      </w:r>
      <w:r>
        <w:t>a</w:t>
      </w:r>
      <w:r w:rsidRPr="002220C8">
        <w:t xml:space="preserve"> stable mode-locked pulse trains </w:t>
      </w:r>
      <w:r>
        <w:t>starts from</w:t>
      </w:r>
      <w:r w:rsidRPr="002220C8">
        <w:t xml:space="preserve"> 265</w:t>
      </w:r>
      <w:r>
        <w:t xml:space="preserve"> </w:t>
      </w:r>
      <w:r w:rsidRPr="002220C8">
        <w:t>mW. Fig</w:t>
      </w:r>
      <w:r>
        <w:t xml:space="preserve">. </w:t>
      </w:r>
      <w:r w:rsidRPr="002220C8">
        <w:t>S</w:t>
      </w:r>
      <w:r w:rsidR="008904A5">
        <w:t>9</w:t>
      </w:r>
      <w:r>
        <w:t>(</w:t>
      </w:r>
      <w:r w:rsidRPr="002220C8">
        <w:t>b</w:t>
      </w:r>
      <w:r>
        <w:t>)</w:t>
      </w:r>
      <w:r w:rsidRPr="002220C8">
        <w:t xml:space="preserve"> shows the RF spectra of the soliton mode-locked pulse at the pump power of 310 mW. The signal-to-noise ratio of the fundamental frequency of the laser reach</w:t>
      </w:r>
      <w:r>
        <w:t>es</w:t>
      </w:r>
      <w:r w:rsidRPr="002220C8">
        <w:t xml:space="preserve"> 68.7 dB at a resolution of 300 Hz, and </w:t>
      </w:r>
      <w:r>
        <w:t xml:space="preserve">it </w:t>
      </w:r>
      <w:r w:rsidRPr="002220C8">
        <w:t xml:space="preserve">is greater than 45 dB in </w:t>
      </w:r>
      <w:r w:rsidRPr="002220C8">
        <w:lastRenderedPageBreak/>
        <w:t xml:space="preserve">the range of 0-0.6 GHz at a resolution of 300 kHz, indicating </w:t>
      </w:r>
      <w:r>
        <w:t>a</w:t>
      </w:r>
      <w:r w:rsidRPr="002220C8">
        <w:t xml:space="preserve"> high stability</w:t>
      </w:r>
      <w:r>
        <w:t xml:space="preserve"> of the mode locking</w:t>
      </w:r>
      <w:r w:rsidRPr="002220C8">
        <w:t>.</w:t>
      </w:r>
    </w:p>
    <w:p w14:paraId="2F66F7A2" w14:textId="77777777" w:rsidR="00474C0F" w:rsidRPr="00CD3D08" w:rsidRDefault="00474C0F" w:rsidP="00CD3D08">
      <w:pPr>
        <w:pStyle w:val="08SectionHeader10"/>
      </w:pPr>
      <w:bookmarkStart w:id="10" w:name="_Toc92435874"/>
      <w:r w:rsidRPr="00CD3D08">
        <w:t xml:space="preserve">8. Thermal damage </w:t>
      </w:r>
      <w:r w:rsidRPr="00CD3D08">
        <w:rPr>
          <w:rFonts w:hint="eastAsia"/>
        </w:rPr>
        <w:t>th</w:t>
      </w:r>
      <w:r w:rsidRPr="00CD3D08">
        <w:t>reshold estimation</w:t>
      </w:r>
      <w:bookmarkEnd w:id="10"/>
    </w:p>
    <w:p w14:paraId="1C36D819" w14:textId="1A450719" w:rsidR="00474C0F" w:rsidRDefault="00474C0F" w:rsidP="001075E7">
      <w:pPr>
        <w:pStyle w:val="09BodyFirstParagraph"/>
      </w:pPr>
      <w:r w:rsidRPr="00806FAB">
        <w:t xml:space="preserve">When the mode-locked pulses (pulse duration </w:t>
      </w:r>
      <w:r>
        <w:t>513</w:t>
      </w:r>
      <w:r w:rsidRPr="00806FAB">
        <w:t xml:space="preserve"> fs, repetition rate </w:t>
      </w:r>
      <w:r>
        <w:t>22.7</w:t>
      </w:r>
      <w:r w:rsidRPr="00806FAB">
        <w:t xml:space="preserve"> MHz) were generated, the maximum averaged power in our </w:t>
      </w:r>
      <w:r w:rsidR="00F03760">
        <w:t>fibre</w:t>
      </w:r>
      <w:r w:rsidRPr="00806FAB">
        <w:t xml:space="preserve"> laser cavity was </w:t>
      </w:r>
      <w:r w:rsidRPr="00B24260">
        <w:t>1.16</w:t>
      </w:r>
      <w:r>
        <w:t xml:space="preserve"> </w:t>
      </w:r>
      <w:r w:rsidRPr="00B24260">
        <w:t>mW</w:t>
      </w:r>
      <w:r w:rsidRPr="00806FAB">
        <w:t xml:space="preserve"> (when the pump power reaches to </w:t>
      </w:r>
      <w:r>
        <w:t>88 m</w:t>
      </w:r>
      <w:r w:rsidRPr="00806FAB">
        <w:t xml:space="preserve">W). The maximum laser fluence inside the laser cavity can be calculated as </w:t>
      </w:r>
      <w:r>
        <w:t>0.08 m</w:t>
      </w:r>
      <w:r w:rsidRPr="00806FAB">
        <w:t>J</w:t>
      </w:r>
      <w:r w:rsidR="00CD53BE">
        <w:t xml:space="preserve"> </w:t>
      </w:r>
      <w:r w:rsidRPr="00806FAB">
        <w:t>cm</w:t>
      </w:r>
      <w:r w:rsidR="00CD53BE" w:rsidRPr="00CD53BE">
        <w:rPr>
          <w:rFonts w:hint="eastAsia"/>
          <w:vertAlign w:val="superscript"/>
          <w:lang w:eastAsia="zh-CN"/>
        </w:rPr>
        <w:t>-</w:t>
      </w:r>
      <w:r w:rsidRPr="001D7461">
        <w:rPr>
          <w:vertAlign w:val="superscript"/>
        </w:rPr>
        <w:t>2</w:t>
      </w:r>
      <w:r>
        <w:t xml:space="preserve">. </w:t>
      </w:r>
      <w:r w:rsidRPr="00806FAB">
        <w:t xml:space="preserve">From the literature </w:t>
      </w:r>
      <w:r w:rsidR="00C13906">
        <w:fldChar w:fldCharType="begin">
          <w:fldData xml:space="preserve">PEVuZE5vdGU+PENpdGU+PEF1dGhvcj5IdWFuZzwvQXV0aG9yPjxZZWFyPjIwMDY8L1llYXI+PFJl
Y051bT4yNTY8L1JlY051bT48RGlzcGxheVRleHQ+PHN0eWxlIGZhY2U9InN1cGVyc2NyaXB0Ij41
LTc8L3N0eWxlPjwvRGlzcGxheVRleHQ+PHJlY29yZD48cmVjLW51bWJlcj4yNTY8L3JlYy1udW1i
ZXI+PGZvcmVpZ24ta2V5cz48a2V5IGFwcD0iRU4iIGRiLWlkPSJkZXpmZXh2OTE1ZGFmd2VzeGU3
NXJwMmY5OXRyZnZ0c3hkdzUiIHRpbWVzdGFtcD0iMTY0NjEzMjk2OSIgZ3VpZD0iZjQ1NzA2M2Et
OTlkYS00ZDdhLWJjNWUtMTM4MDkxM2RmYzcxIj4yNTY8L2tleT48L2ZvcmVpZ24ta2V5cz48cmVm
LXR5cGUgbmFtZT0iSm91cm5hbCBBcnRpY2xlIj4xNzwvcmVmLXR5cGU+PGNvbnRyaWJ1dG9ycz48
YXV0aG9ycz48YXV0aG9yPkh1YW5nLCBXLjwvYXV0aG9yPjxhdXRob3I+UWlhbiwgVy48L2F1dGhv
cj48YXV0aG9yPkVsLVNheWVkLCBNLiBBLjwvYXV0aG9yPjwvYXV0aG9ycz48L2NvbnRyaWJ1dG9y
cz48YXV0aC1hZGRyZXNzPkxhc2VyIER5bmFtaWNzIExhYm9yYXRvcnksIFNjaG9vbCBvZiBDaGVt
aXN0cnkgYW5kIEJpb2NoZW1pc3RyeSwgR2VvcmdpYSBJbnN0aXR1dGUgb2YgVGVjaG5vbG9neSwg
QXRsYW50YSwgR0EgMzAzMzItMDQwMCwgVVNBLjwvYXV0aC1hZGRyZXNzPjx0aXRsZXM+PHRpdGxl
PkdvbGQgbmFub3BhcnRpY2xlcyBwcm9wdWxzaW9uIGZyb20gc3VyZmFjZSBmdWVsZWQgYnkgYWJz
b3JwdGlvbiBvZiBmZW10b3NlY29uZCBsYXNlciBwdWxzZSBhdCB0aGVpciBzdXJmYWNlIHBsYXNt
b24gcmVzb25hbmNlPC90aXRsZT48c2Vjb25kYXJ5LXRpdGxlPkogQW0gQ2hlbSBTb2M8L3NlY29u
ZGFyeS10aXRsZT48L3RpdGxlcz48cGVyaW9kaWNhbD48ZnVsbC10aXRsZT5KIEFtIENoZW0gU29j
PC9mdWxsLXRpdGxlPjwvcGVyaW9kaWNhbD48cGFnZXM+MTMzMzAtMTwvcGFnZXM+PHZvbHVtZT4x
Mjg8L3ZvbHVtZT48bnVtYmVyPjQxPC9udW1iZXI+PGVkaXRpb24+MjAwNi8xMC8xMzwvZWRpdGlv
bj48a2V5d29yZHM+PGtleXdvcmQ+QWJzb3JwdGlvbjwva2V5d29yZD48a2V5d29yZD5Hb2xkLypj
aGVtaXN0cnk8L2tleXdvcmQ+PGtleXdvcmQ+Kkxhc2Vyczwva2V5d29yZD48a2V5d29yZD5NaWNy
b3Njb3B5LCBBdG9taWMgRm9yY2UvbWV0aG9kczwva2V5d29yZD48a2V5d29yZD5OYW5vcGFydGlj
bGVzLypjaGVtaXN0cnk8L2tleXdvcmQ+PGtleXdvcmQ+TmFub3RlY2hub2xvZ3kvKm1ldGhvZHM8
L2tleXdvcmQ+PGtleXdvcmQ+UGFydGljbGUgU2l6ZTwva2V5d29yZD48a2V5d29yZD5TdXJmYWNl
IFBsYXNtb24gUmVzb25hbmNlLyptZXRob2RzPC9rZXl3b3JkPjwva2V5d29yZHM+PGRhdGVzPjx5
ZWFyPjIwMDY8L3llYXI+PHB1Yi1kYXRlcz48ZGF0ZT5PY3QgMTg8L2RhdGU+PC9wdWItZGF0ZXM+
PC9kYXRlcz48aXNibj4wMDAyLTc4NjMgKFByaW50KSYjeEQ7MDAwMi03ODYzIChMaW5raW5nKTwv
aXNibj48YWNjZXNzaW9uLW51bT4xNzAzMTkyNTwvYWNjZXNzaW9uLW51bT48dXJscz48cmVsYXRl
ZC11cmxzPjx1cmw+aHR0cHM6Ly93d3cubmNiaS5ubG0ubmloLmdvdi9wdWJtZWQvMTcwMzE5MjU8
L3VybD48L3JlbGF0ZWQtdXJscz48L3VybHM+PGVsZWN0cm9uaWMtcmVzb3VyY2UtbnVtPjEwLjEw
MjEvamEwNjQzMjhwPC9lbGVjdHJvbmljLXJlc291cmNlLW51bT48L3JlY29yZD48L0NpdGU+PENp
dGUgRXhjbHVkZUF1dGg9IjEiPjxZZWFyPjIwMDk8L1llYXI+PFJlY051bT4yNTg8L1JlY051bT48
cmVjb3JkPjxyZWMtbnVtYmVyPjI1ODwvcmVjLW51bWJlcj48Zm9yZWlnbi1rZXlzPjxrZXkgYXBw
PSJFTiIgZGItaWQ9ImRlemZleHY5MTVkYWZ3ZXN4ZTc1cnAyZjk5dHJmdnRzeGR3NSIgdGltZXN0
YW1wPSIxNjQ2MTMyOTc1IiBndWlkPSJiY2NlYTMwMy1jYzE5LTRmMDctOWZjYi1mZmRkM2U4Zjgx
NDkiPjI1ODwva2V5PjwvZm9yZWlnbi1rZXlzPjxyZWYtdHlwZSBuYW1lPSJKb3VybmFsIEFydGlj
bGUiPjE3PC9yZWYtdHlwZT48Y29udHJpYnV0b3JzPjwvY29udHJpYnV0b3JzPjx0aXRsZXM+PHRp
dGxlPk5hbm9waG90b25pY3M6IHBsYXNtb25pY3MgYW5kIG1ldGFsIG5hbm9wYXJ0aWNsZXM8L3Rp
dGxlPjxzZWNvbmRhcnktdGl0bGU+UGh5cyBDaGVtIENoZW0gUGh5czwvc2Vjb25kYXJ5LXRpdGxl
PjwvdGl0bGVzPjxwZXJpb2RpY2FsPjxmdWxsLXRpdGxlPlBoeXMgQ2hlbSBDaGVtIFBoeXM8L2Z1
bGwtdGl0bGU+PC9wZXJpb2RpY2FsPjxwYWdlcz41ODY2PC9wYWdlcz48dm9sdW1lPjExPC92b2x1
bWU+PG51bWJlcj4yODwvbnVtYmVyPjxlZGl0aW9uPjIwMDkvMDcvMTA8L2VkaXRpb24+PGtleXdv
cmRzPjxrZXl3b3JkPkZsdW9yZXNjZW5jZTwva2V5d29yZD48a2V5d29yZD5NZXRhbCBOYW5vcGFy
dGljbGVzLypjaGVtaXN0cnk8L2tleXdvcmQ+PGtleXdvcmQ+T3B0aWNhbCBQaGVub21lbmE8L2tl
eXdvcmQ+PGtleXdvcmQ+U3VyZmFjZSBQbGFzbW9uIFJlc29uYW5jZTwva2V5d29yZD48L2tleXdv
cmRzPjxkYXRlcz48eWVhcj4yMDA5PC95ZWFyPjxwdWItZGF0ZXM+PGRhdGU+SnVsIDI4PC9kYXRl
PjwvcHViLWRhdGVzPjwvZGF0ZXM+PGlzYm4+MTQ2My05MDc2IChQcmludCkmI3hEOzE0NjMtOTA3
NiAoTGlua2luZyk8L2lzYm4+PGFjY2Vzc2lvbi1udW0+MTk1ODgwMDQ8L2FjY2Vzc2lvbi1udW0+
PHVybHM+PHJlbGF0ZWQtdXJscz48dXJsPmh0dHBzOi8vd3d3Lm5jYmkubmxtLm5paC5nb3YvcHVi
bWVkLzE5NTg4MDA0PC91cmw+PC9yZWxhdGVkLXVybHM+PC91cmxzPjxlbGVjdHJvbmljLXJlc291
cmNlLW51bT4xMC4xMDM5L2I5MTE3NDZmPC9lbGVjdHJvbmljLXJlc291cmNlLW51bT48L3JlY29y
ZD48L0NpdGU+PENpdGU+PEF1dGhvcj5UYXlsb3I8L0F1dGhvcj48WWVhcj4yMDE0PC9ZZWFyPjxS
ZWNOdW0+MjU3PC9SZWNOdW0+PHJlY29yZD48cmVjLW51bWJlcj4yNTc8L3JlYy1udW1iZXI+PGZv
cmVpZ24ta2V5cz48a2V5IGFwcD0iRU4iIGRiLWlkPSJkZXpmZXh2OTE1ZGFmd2VzeGU3NXJwMmY5
OXRyZnZ0c3hkdzUiIHRpbWVzdGFtcD0iMTY0NjEzMjk3MCIgZ3VpZD0iNGI4YmVhY2MtZGEyMi00
MjBiLWIzNDgtM2FiZDUzYTM5NGVlIj4yNTc8L2tleT48L2ZvcmVpZ24ta2V5cz48cmVmLXR5cGUg
bmFtZT0iSm91cm5hbCBBcnRpY2xlIj4xNzwvcmVmLXR5cGU+PGNvbnRyaWJ1dG9ycz48YXV0aG9y
cz48YXV0aG9yPlRheWxvciwgQS4gQi48L2F1dGhvcj48YXV0aG9yPlNpZGRpcXVlZSwgQS4gTS48
L2F1dGhvcj48YXV0aG9yPkNob24sIEouIFcuPC9hdXRob3I+PC9hdXRob3JzPjwvY29udHJpYnV0
b3JzPjxhdXRoLWFkZHJlc3M+Q2VudHJlIGZvciBNaWNyby1QaG90b25pY3MsIEZhY3VsdHkgb2Yg
U2NpZW5jZSwgRW5naW5lZXJpbmcgYW5kIFRlY2hub2xvZ3ksIFN3aW5idXJuZSBVbml2ZXJzaXR5
IG9mIFRlY2hub2xvZ3kgLCBQLk8uIEJveCAyMTgsIEhhd3Rob3JuIDMxMjIsIFZpY3RvcmlhLCBB
dXN0cmFsaWEuPC9hdXRoLWFkZHJlc3M+PHRpdGxlcz48dGl0bGU+QmVsb3cgbWVsdGluZyBwb2lu
dCBwaG90b3RoZXJtYWwgcmVzaGFwaW5nIG9mIHNpbmdsZSBnb2xkIG5hbm9yb2RzIGRyaXZlbiBi
eSBzdXJmYWNlIGRpZmZ1c2lvbjwvdGl0bGU+PHNlY29uZGFyeS10aXRsZT5BQ1MgTmFubzwvc2Vj
b25kYXJ5LXRpdGxlPjwvdGl0bGVzPjxwZXJpb2RpY2FsPjxmdWxsLXRpdGxlPkFDUyBOYW5vPC9m
dWxsLXRpdGxlPjwvcGVyaW9kaWNhbD48cGFnZXM+MTIwNzEtOTwvcGFnZXM+PHZvbHVtZT44PC92
b2x1bWU+PG51bWJlcj4xMjwvbnVtYmVyPjxlZGl0aW9uPjIwMTQvMTEvMTk8L2VkaXRpb24+PGtl
eXdvcmRzPjxrZXl3b3JkPmdvbGQgbmFub3JvZHM8L2tleXdvcmQ+PGtleXdvcmQ+cGhvdG90aGVy
bWFsIHJlc2hhcGluZzwva2V5d29yZD48a2V5d29yZD5wbGFzbW9uaWNzPC9rZXl3b3JkPjxrZXl3
b3JkPnN1cmZhY2UgZGlmZnVzaW9uPC9rZXl3b3JkPjwva2V5d29yZHM+PGRhdGVzPjx5ZWFyPjIw
MTQ8L3llYXI+PHB1Yi1kYXRlcz48ZGF0ZT5EZWMgMjM8L2RhdGU+PC9wdWItZGF0ZXM+PC9kYXRl
cz48aXNibj4xOTM2LTA4NlggKEVsZWN0cm9uaWMpJiN4RDsxOTM2LTA4NTEgKExpbmtpbmcpPC9p
c2JuPjxhY2Nlc3Npb24tbnVtPjI1NDA1NTE3PC9hY2Nlc3Npb24tbnVtPjx1cmxzPjxyZWxhdGVk
LXVybHM+PHVybD5odHRwczovL3d3dy5uY2JpLm5sbS5uaWguZ292L3B1Ym1lZC8yNTQwNTUxNzwv
dXJsPjwvcmVsYXRlZC11cmxzPjwvdXJscz48ZWxlY3Ryb25pYy1yZXNvdXJjZS1udW0+MTAuMTAy
MS9ubjUwNTUyODM8L2VsZWN0cm9uaWMtcmVzb3VyY2UtbnVtPjwvcmVjb3JkPjwvQ2l0ZT48L0Vu
ZE5vdGU+
</w:fldData>
        </w:fldChar>
      </w:r>
      <w:r w:rsidR="005C77FE">
        <w:instrText xml:space="preserve"> ADDIN EN.CITE </w:instrText>
      </w:r>
      <w:r w:rsidR="005C77FE">
        <w:fldChar w:fldCharType="begin">
          <w:fldData xml:space="preserve">PEVuZE5vdGU+PENpdGU+PEF1dGhvcj5IdWFuZzwvQXV0aG9yPjxZZWFyPjIwMDY8L1llYXI+PFJl
Y051bT4yNTY8L1JlY051bT48RGlzcGxheVRleHQ+PHN0eWxlIGZhY2U9InN1cGVyc2NyaXB0Ij41
LTc8L3N0eWxlPjwvRGlzcGxheVRleHQ+PHJlY29yZD48cmVjLW51bWJlcj4yNTY8L3JlYy1udW1i
ZXI+PGZvcmVpZ24ta2V5cz48a2V5IGFwcD0iRU4iIGRiLWlkPSJkZXpmZXh2OTE1ZGFmd2VzeGU3
NXJwMmY5OXRyZnZ0c3hkdzUiIHRpbWVzdGFtcD0iMTY0NjEzMjk2OSIgZ3VpZD0iZjQ1NzA2M2Et
OTlkYS00ZDdhLWJjNWUtMTM4MDkxM2RmYzcxIj4yNTY8L2tleT48L2ZvcmVpZ24ta2V5cz48cmVm
LXR5cGUgbmFtZT0iSm91cm5hbCBBcnRpY2xlIj4xNzwvcmVmLXR5cGU+PGNvbnRyaWJ1dG9ycz48
YXV0aG9ycz48YXV0aG9yPkh1YW5nLCBXLjwvYXV0aG9yPjxhdXRob3I+UWlhbiwgVy48L2F1dGhv
cj48YXV0aG9yPkVsLVNheWVkLCBNLiBBLjwvYXV0aG9yPjwvYXV0aG9ycz48L2NvbnRyaWJ1dG9y
cz48YXV0aC1hZGRyZXNzPkxhc2VyIER5bmFtaWNzIExhYm9yYXRvcnksIFNjaG9vbCBvZiBDaGVt
aXN0cnkgYW5kIEJpb2NoZW1pc3RyeSwgR2VvcmdpYSBJbnN0aXR1dGUgb2YgVGVjaG5vbG9neSwg
QXRsYW50YSwgR0EgMzAzMzItMDQwMCwgVVNBLjwvYXV0aC1hZGRyZXNzPjx0aXRsZXM+PHRpdGxl
PkdvbGQgbmFub3BhcnRpY2xlcyBwcm9wdWxzaW9uIGZyb20gc3VyZmFjZSBmdWVsZWQgYnkgYWJz
b3JwdGlvbiBvZiBmZW10b3NlY29uZCBsYXNlciBwdWxzZSBhdCB0aGVpciBzdXJmYWNlIHBsYXNt
b24gcmVzb25hbmNlPC90aXRsZT48c2Vjb25kYXJ5LXRpdGxlPkogQW0gQ2hlbSBTb2M8L3NlY29u
ZGFyeS10aXRsZT48L3RpdGxlcz48cGVyaW9kaWNhbD48ZnVsbC10aXRsZT5KIEFtIENoZW0gU29j
PC9mdWxsLXRpdGxlPjwvcGVyaW9kaWNhbD48cGFnZXM+MTMzMzAtMTwvcGFnZXM+PHZvbHVtZT4x
Mjg8L3ZvbHVtZT48bnVtYmVyPjQxPC9udW1iZXI+PGVkaXRpb24+MjAwNi8xMC8xMzwvZWRpdGlv
bj48a2V5d29yZHM+PGtleXdvcmQ+QWJzb3JwdGlvbjwva2V5d29yZD48a2V5d29yZD5Hb2xkLypj
aGVtaXN0cnk8L2tleXdvcmQ+PGtleXdvcmQ+Kkxhc2Vyczwva2V5d29yZD48a2V5d29yZD5NaWNy
b3Njb3B5LCBBdG9taWMgRm9yY2UvbWV0aG9kczwva2V5d29yZD48a2V5d29yZD5OYW5vcGFydGlj
bGVzLypjaGVtaXN0cnk8L2tleXdvcmQ+PGtleXdvcmQ+TmFub3RlY2hub2xvZ3kvKm1ldGhvZHM8
L2tleXdvcmQ+PGtleXdvcmQ+UGFydGljbGUgU2l6ZTwva2V5d29yZD48a2V5d29yZD5TdXJmYWNl
IFBsYXNtb24gUmVzb25hbmNlLyptZXRob2RzPC9rZXl3b3JkPjwva2V5d29yZHM+PGRhdGVzPjx5
ZWFyPjIwMDY8L3llYXI+PHB1Yi1kYXRlcz48ZGF0ZT5PY3QgMTg8L2RhdGU+PC9wdWItZGF0ZXM+
PC9kYXRlcz48aXNibj4wMDAyLTc4NjMgKFByaW50KSYjeEQ7MDAwMi03ODYzIChMaW5raW5nKTwv
aXNibj48YWNjZXNzaW9uLW51bT4xNzAzMTkyNTwvYWNjZXNzaW9uLW51bT48dXJscz48cmVsYXRl
ZC11cmxzPjx1cmw+aHR0cHM6Ly93d3cubmNiaS5ubG0ubmloLmdvdi9wdWJtZWQvMTcwMzE5MjU8
L3VybD48L3JlbGF0ZWQtdXJscz48L3VybHM+PGVsZWN0cm9uaWMtcmVzb3VyY2UtbnVtPjEwLjEw
MjEvamEwNjQzMjhwPC9lbGVjdHJvbmljLXJlc291cmNlLW51bT48L3JlY29yZD48L0NpdGU+PENp
dGUgRXhjbHVkZUF1dGg9IjEiPjxZZWFyPjIwMDk8L1llYXI+PFJlY051bT4yNTg8L1JlY051bT48
cmVjb3JkPjxyZWMtbnVtYmVyPjI1ODwvcmVjLW51bWJlcj48Zm9yZWlnbi1rZXlzPjxrZXkgYXBw
PSJFTiIgZGItaWQ9ImRlemZleHY5MTVkYWZ3ZXN4ZTc1cnAyZjk5dHJmdnRzeGR3NSIgdGltZXN0
YW1wPSIxNjQ2MTMyOTc1IiBndWlkPSJiY2NlYTMwMy1jYzE5LTRmMDctOWZjYi1mZmRkM2U4Zjgx
NDkiPjI1ODwva2V5PjwvZm9yZWlnbi1rZXlzPjxyZWYtdHlwZSBuYW1lPSJKb3VybmFsIEFydGlj
bGUiPjE3PC9yZWYtdHlwZT48Y29udHJpYnV0b3JzPjwvY29udHJpYnV0b3JzPjx0aXRsZXM+PHRp
dGxlPk5hbm9waG90b25pY3M6IHBsYXNtb25pY3MgYW5kIG1ldGFsIG5hbm9wYXJ0aWNsZXM8L3Rp
dGxlPjxzZWNvbmRhcnktdGl0bGU+UGh5cyBDaGVtIENoZW0gUGh5czwvc2Vjb25kYXJ5LXRpdGxl
PjwvdGl0bGVzPjxwZXJpb2RpY2FsPjxmdWxsLXRpdGxlPlBoeXMgQ2hlbSBDaGVtIFBoeXM8L2Z1
bGwtdGl0bGU+PC9wZXJpb2RpY2FsPjxwYWdlcz41ODY2PC9wYWdlcz48dm9sdW1lPjExPC92b2x1
bWU+PG51bWJlcj4yODwvbnVtYmVyPjxlZGl0aW9uPjIwMDkvMDcvMTA8L2VkaXRpb24+PGtleXdv
cmRzPjxrZXl3b3JkPkZsdW9yZXNjZW5jZTwva2V5d29yZD48a2V5d29yZD5NZXRhbCBOYW5vcGFy
dGljbGVzLypjaGVtaXN0cnk8L2tleXdvcmQ+PGtleXdvcmQ+T3B0aWNhbCBQaGVub21lbmE8L2tl
eXdvcmQ+PGtleXdvcmQ+U3VyZmFjZSBQbGFzbW9uIFJlc29uYW5jZTwva2V5d29yZD48L2tleXdv
cmRzPjxkYXRlcz48eWVhcj4yMDA5PC95ZWFyPjxwdWItZGF0ZXM+PGRhdGU+SnVsIDI4PC9kYXRl
PjwvcHViLWRhdGVzPjwvZGF0ZXM+PGlzYm4+MTQ2My05MDc2IChQcmludCkmI3hEOzE0NjMtOTA3
NiAoTGlua2luZyk8L2lzYm4+PGFjY2Vzc2lvbi1udW0+MTk1ODgwMDQ8L2FjY2Vzc2lvbi1udW0+
PHVybHM+PHJlbGF0ZWQtdXJscz48dXJsPmh0dHBzOi8vd3d3Lm5jYmkubmxtLm5paC5nb3YvcHVi
bWVkLzE5NTg4MDA0PC91cmw+PC9yZWxhdGVkLXVybHM+PC91cmxzPjxlbGVjdHJvbmljLXJlc291
cmNlLW51bT4xMC4xMDM5L2I5MTE3NDZmPC9lbGVjdHJvbmljLXJlc291cmNlLW51bT48L3JlY29y
ZD48L0NpdGU+PENpdGU+PEF1dGhvcj5UYXlsb3I8L0F1dGhvcj48WWVhcj4yMDE0PC9ZZWFyPjxS
ZWNOdW0+MjU3PC9SZWNOdW0+PHJlY29yZD48cmVjLW51bWJlcj4yNTc8L3JlYy1udW1iZXI+PGZv
cmVpZ24ta2V5cz48a2V5IGFwcD0iRU4iIGRiLWlkPSJkZXpmZXh2OTE1ZGFmd2VzeGU3NXJwMmY5
OXRyZnZ0c3hkdzUiIHRpbWVzdGFtcD0iMTY0NjEzMjk3MCIgZ3VpZD0iNGI4YmVhY2MtZGEyMi00
MjBiLWIzNDgtM2FiZDUzYTM5NGVlIj4yNTc8L2tleT48L2ZvcmVpZ24ta2V5cz48cmVmLXR5cGUg
bmFtZT0iSm91cm5hbCBBcnRpY2xlIj4xNzwvcmVmLXR5cGU+PGNvbnRyaWJ1dG9ycz48YXV0aG9y
cz48YXV0aG9yPlRheWxvciwgQS4gQi48L2F1dGhvcj48YXV0aG9yPlNpZGRpcXVlZSwgQS4gTS48
L2F1dGhvcj48YXV0aG9yPkNob24sIEouIFcuPC9hdXRob3I+PC9hdXRob3JzPjwvY29udHJpYnV0
b3JzPjxhdXRoLWFkZHJlc3M+Q2VudHJlIGZvciBNaWNyby1QaG90b25pY3MsIEZhY3VsdHkgb2Yg
U2NpZW5jZSwgRW5naW5lZXJpbmcgYW5kIFRlY2hub2xvZ3ksIFN3aW5idXJuZSBVbml2ZXJzaXR5
IG9mIFRlY2hub2xvZ3kgLCBQLk8uIEJveCAyMTgsIEhhd3Rob3JuIDMxMjIsIFZpY3RvcmlhLCBB
dXN0cmFsaWEuPC9hdXRoLWFkZHJlc3M+PHRpdGxlcz48dGl0bGU+QmVsb3cgbWVsdGluZyBwb2lu
dCBwaG90b3RoZXJtYWwgcmVzaGFwaW5nIG9mIHNpbmdsZSBnb2xkIG5hbm9yb2RzIGRyaXZlbiBi
eSBzdXJmYWNlIGRpZmZ1c2lvbjwvdGl0bGU+PHNlY29uZGFyeS10aXRsZT5BQ1MgTmFubzwvc2Vj
b25kYXJ5LXRpdGxlPjwvdGl0bGVzPjxwZXJpb2RpY2FsPjxmdWxsLXRpdGxlPkFDUyBOYW5vPC9m
dWxsLXRpdGxlPjwvcGVyaW9kaWNhbD48cGFnZXM+MTIwNzEtOTwvcGFnZXM+PHZvbHVtZT44PC92
b2x1bWU+PG51bWJlcj4xMjwvbnVtYmVyPjxlZGl0aW9uPjIwMTQvMTEvMTk8L2VkaXRpb24+PGtl
eXdvcmRzPjxrZXl3b3JkPmdvbGQgbmFub3JvZHM8L2tleXdvcmQ+PGtleXdvcmQ+cGhvdG90aGVy
bWFsIHJlc2hhcGluZzwva2V5d29yZD48a2V5d29yZD5wbGFzbW9uaWNzPC9rZXl3b3JkPjxrZXl3
b3JkPnN1cmZhY2UgZGlmZnVzaW9uPC9rZXl3b3JkPjwva2V5d29yZHM+PGRhdGVzPjx5ZWFyPjIw
MTQ8L3llYXI+PHB1Yi1kYXRlcz48ZGF0ZT5EZWMgMjM8L2RhdGU+PC9wdWItZGF0ZXM+PC9kYXRl
cz48aXNibj4xOTM2LTA4NlggKEVsZWN0cm9uaWMpJiN4RDsxOTM2LTA4NTEgKExpbmtpbmcpPC9p
c2JuPjxhY2Nlc3Npb24tbnVtPjI1NDA1NTE3PC9hY2Nlc3Npb24tbnVtPjx1cmxzPjxyZWxhdGVk
LXVybHM+PHVybD5odHRwczovL3d3dy5uY2JpLm5sbS5uaWguZ292L3B1Ym1lZC8yNTQwNTUxNzwv
dXJsPjwvcmVsYXRlZC11cmxzPjwvdXJscz48ZWxlY3Ryb25pYy1yZXNvdXJjZS1udW0+MTAuMTAy
MS9ubjUwNTUyODM8L2VsZWN0cm9uaWMtcmVzb3VyY2UtbnVtPjwvcmVjb3JkPjwvQ2l0ZT48L0Vu
ZE5vdGU+
</w:fldData>
        </w:fldChar>
      </w:r>
      <w:r w:rsidR="005C77FE">
        <w:instrText xml:space="preserve"> ADDIN EN.CITE.DATA </w:instrText>
      </w:r>
      <w:r w:rsidR="005C77FE">
        <w:fldChar w:fldCharType="end"/>
      </w:r>
      <w:r w:rsidR="00C13906">
        <w:fldChar w:fldCharType="separate"/>
      </w:r>
      <w:r w:rsidR="005C77FE" w:rsidRPr="005C77FE">
        <w:rPr>
          <w:noProof/>
          <w:vertAlign w:val="superscript"/>
        </w:rPr>
        <w:t>5-7</w:t>
      </w:r>
      <w:r w:rsidR="00C13906">
        <w:fldChar w:fldCharType="end"/>
      </w:r>
      <w:r w:rsidRPr="001075E7">
        <w:t>,</w:t>
      </w:r>
      <w:r w:rsidRPr="00806FAB">
        <w:t xml:space="preserve"> the damage threshold of gold nanorods is within a </w:t>
      </w:r>
      <w:r w:rsidRPr="001075E7">
        <w:t xml:space="preserve">2.5-5.6 </w:t>
      </w:r>
      <w:r w:rsidR="005E73B2">
        <w:t>m</w:t>
      </w:r>
      <w:r w:rsidR="005E73B2" w:rsidRPr="00806FAB">
        <w:t>J</w:t>
      </w:r>
      <w:r w:rsidR="005E73B2">
        <w:t xml:space="preserve"> </w:t>
      </w:r>
      <w:r w:rsidR="005E73B2" w:rsidRPr="00806FAB">
        <w:t>cm</w:t>
      </w:r>
      <w:r w:rsidR="005E73B2" w:rsidRPr="00CD53BE">
        <w:rPr>
          <w:rFonts w:hint="eastAsia"/>
          <w:vertAlign w:val="superscript"/>
          <w:lang w:eastAsia="zh-CN"/>
        </w:rPr>
        <w:t>-</w:t>
      </w:r>
      <w:r w:rsidR="005E73B2" w:rsidRPr="001D7461">
        <w:rPr>
          <w:vertAlign w:val="superscript"/>
        </w:rPr>
        <w:t>2</w:t>
      </w:r>
      <w:r w:rsidRPr="00806FAB">
        <w:t xml:space="preserve"> range</w:t>
      </w:r>
      <w:r>
        <w:t>,</w:t>
      </w:r>
      <w:r w:rsidRPr="00806FAB">
        <w:t xml:space="preserve"> which is </w:t>
      </w:r>
      <w:r>
        <w:t>far beyond</w:t>
      </w:r>
      <w:r w:rsidRPr="00806FAB">
        <w:t xml:space="preserve"> </w:t>
      </w:r>
      <w:r>
        <w:t xml:space="preserve">the maximum </w:t>
      </w:r>
      <w:r w:rsidRPr="00806FAB">
        <w:t>valu</w:t>
      </w:r>
      <w:r>
        <w:t>e of laser fluence in our laser cavity</w:t>
      </w:r>
      <w:r w:rsidRPr="00806FAB">
        <w:t>. Therefore, no visible thermal damages were observed from SEM images after all the mode-locking experiments.</w:t>
      </w:r>
    </w:p>
    <w:p w14:paraId="7F0CED2D" w14:textId="77777777" w:rsidR="00474C0F" w:rsidRPr="00CD3D08" w:rsidRDefault="00474C0F" w:rsidP="00CD3D08">
      <w:pPr>
        <w:pStyle w:val="08SectionHeader10"/>
      </w:pPr>
      <w:bookmarkStart w:id="11" w:name="_Toc92435875"/>
      <w:r w:rsidRPr="00CD3D08">
        <w:t>9. Optical nonlinearity induced plasmonic resonance shift</w:t>
      </w:r>
      <w:bookmarkEnd w:id="11"/>
    </w:p>
    <w:p w14:paraId="2DF3DD19" w14:textId="626CBD21" w:rsidR="00474C0F" w:rsidRDefault="00474C0F" w:rsidP="001075E7">
      <w:pPr>
        <w:pStyle w:val="09BodyFirstParagraph"/>
      </w:pPr>
      <w:r>
        <w:t>Power dependent transmission spectra for the plasmonic metasurface are calculated by using finite element method (COMSOL Multiphysics). The model system is shown in Fig. S</w:t>
      </w:r>
      <w:r w:rsidR="008904A5">
        <w:t>10</w:t>
      </w:r>
      <w:r>
        <w:t xml:space="preserve">(a), taking the periodic conditions into account. </w:t>
      </w:r>
    </w:p>
    <w:p w14:paraId="002527A0" w14:textId="0EA9434A" w:rsidR="00CF76C8" w:rsidRDefault="00CF76C8" w:rsidP="00CF76C8">
      <w:pPr>
        <w:pStyle w:val="09BodyFirstParagraph"/>
        <w:ind w:firstLineChars="200" w:firstLine="400"/>
      </w:pPr>
      <w:r w:rsidRPr="00CD47B3">
        <w:t xml:space="preserve">In such a unit cell, an Au nanorod with the length </w:t>
      </w:r>
      <w:r w:rsidRPr="006F6260">
        <w:rPr>
          <w:i/>
          <w:iCs/>
        </w:rPr>
        <w:t>L</w:t>
      </w:r>
      <w:r w:rsidR="005E73B2">
        <w:rPr>
          <w:i/>
          <w:iCs/>
        </w:rPr>
        <w:t xml:space="preserve"> </w:t>
      </w:r>
      <w:r w:rsidRPr="00CD47B3">
        <w:t>=</w:t>
      </w:r>
      <w:r w:rsidR="005E73B2">
        <w:t xml:space="preserve"> </w:t>
      </w:r>
      <w:r w:rsidRPr="00CD47B3">
        <w:t xml:space="preserve">470 nm, width </w:t>
      </w:r>
      <w:r w:rsidRPr="006F6260">
        <w:rPr>
          <w:i/>
          <w:iCs/>
        </w:rPr>
        <w:t>W</w:t>
      </w:r>
      <w:r w:rsidR="005E73B2">
        <w:rPr>
          <w:i/>
          <w:iCs/>
        </w:rPr>
        <w:t xml:space="preserve"> </w:t>
      </w:r>
      <w:r w:rsidRPr="00CD47B3">
        <w:t>=</w:t>
      </w:r>
      <w:r w:rsidR="005E73B2">
        <w:t xml:space="preserve"> </w:t>
      </w:r>
      <w:r w:rsidRPr="00CD47B3">
        <w:t xml:space="preserve">160 nm and the thickness </w:t>
      </w:r>
      <w:r w:rsidRPr="006F6260">
        <w:rPr>
          <w:i/>
          <w:iCs/>
        </w:rPr>
        <w:t>T</w:t>
      </w:r>
      <w:r w:rsidR="005E73B2">
        <w:rPr>
          <w:i/>
          <w:iCs/>
        </w:rPr>
        <w:t xml:space="preserve"> </w:t>
      </w:r>
      <w:r w:rsidRPr="00CD47B3">
        <w:t>=</w:t>
      </w:r>
      <w:r w:rsidR="005E73B2">
        <w:t xml:space="preserve"> </w:t>
      </w:r>
      <w:r w:rsidRPr="00CD47B3">
        <w:t xml:space="preserve">60 nm locates on a substrate of refractive index </w:t>
      </w:r>
      <w:r w:rsidRPr="006F6260">
        <w:rPr>
          <w:i/>
          <w:iCs/>
        </w:rPr>
        <w:t>n</w:t>
      </w:r>
      <w:r w:rsidRPr="00CD47B3">
        <w:t xml:space="preserve"> = 1.5, excited by a linearly polarized plane wave coming from the air side of the interface. The longitudinal and transverse periods keep the same: </w:t>
      </w:r>
      <w:r w:rsidRPr="006F6260">
        <w:rPr>
          <w:i/>
          <w:iCs/>
        </w:rPr>
        <w:t>P</w:t>
      </w:r>
      <w:r w:rsidRPr="006F6260">
        <w:rPr>
          <w:i/>
          <w:iCs/>
          <w:vertAlign w:val="subscript"/>
        </w:rPr>
        <w:t>x</w:t>
      </w:r>
      <w:r w:rsidR="005E73B2">
        <w:rPr>
          <w:i/>
          <w:iCs/>
          <w:vertAlign w:val="subscript"/>
        </w:rPr>
        <w:t xml:space="preserve"> </w:t>
      </w:r>
      <w:r w:rsidRPr="00CD47B3">
        <w:t>=</w:t>
      </w:r>
      <w:r w:rsidR="005E73B2">
        <w:t xml:space="preserve"> </w:t>
      </w:r>
      <w:r w:rsidRPr="006F6260">
        <w:rPr>
          <w:i/>
          <w:iCs/>
        </w:rPr>
        <w:t>P</w:t>
      </w:r>
      <w:r w:rsidRPr="006F6260">
        <w:rPr>
          <w:i/>
          <w:iCs/>
          <w:vertAlign w:val="subscript"/>
        </w:rPr>
        <w:t>y</w:t>
      </w:r>
      <w:r w:rsidR="005E73B2">
        <w:rPr>
          <w:i/>
          <w:iCs/>
          <w:vertAlign w:val="subscript"/>
        </w:rPr>
        <w:t xml:space="preserve"> </w:t>
      </w:r>
      <w:r w:rsidRPr="00CD47B3">
        <w:t>=</w:t>
      </w:r>
      <w:r w:rsidR="005E73B2">
        <w:t xml:space="preserve"> </w:t>
      </w:r>
      <w:r w:rsidRPr="00CD47B3">
        <w:t xml:space="preserve">750 nm. </w:t>
      </w:r>
      <w:r>
        <w:t xml:space="preserve">Port 1, 2 are input and output light ports, respectively. The peak power </w:t>
      </w:r>
      <w:r w:rsidRPr="001075E7">
        <w:t>Pin</w:t>
      </w:r>
      <w:r>
        <w:t xml:space="preserve"> for the input port is calculated from experimental laser parameters in accordance with the following formula:</w:t>
      </w:r>
    </w:p>
    <w:p w14:paraId="2C6DE185" w14:textId="77777777" w:rsidR="00CF76C8" w:rsidRDefault="00000000" w:rsidP="00CF76C8">
      <w:pPr>
        <w:rPr>
          <w:rFonts w:ascii="Times New Roman" w:hAnsi="Times New Roman"/>
          <w:sz w:val="20"/>
        </w:rPr>
      </w:pPr>
      <m:oMathPara>
        <m:oMath>
          <m:eqArr>
            <m:eqArrPr>
              <m:maxDist m:val="1"/>
              <m:ctrlPr>
                <w:rPr>
                  <w:rFonts w:ascii="Cambria Math" w:hAnsi="Cambria Math"/>
                  <w:i/>
                  <w:sz w:val="20"/>
                </w:rPr>
              </m:ctrlPr>
            </m:eqArrPr>
            <m:e>
              <m:sSub>
                <m:sSubPr>
                  <m:ctrlPr>
                    <w:rPr>
                      <w:rFonts w:ascii="Cambria Math" w:hAnsi="Cambria Math"/>
                      <w:i/>
                      <w:sz w:val="20"/>
                    </w:rPr>
                  </m:ctrlPr>
                </m:sSubPr>
                <m:e>
                  <m:r>
                    <w:rPr>
                      <w:rFonts w:ascii="Cambria Math" w:hAnsi="Cambria Math"/>
                      <w:sz w:val="20"/>
                    </w:rPr>
                    <m:t>P</m:t>
                  </m:r>
                </m:e>
                <m:sub>
                  <m:r>
                    <w:rPr>
                      <w:rFonts w:ascii="Cambria Math" w:hAnsi="Cambria Math"/>
                      <w:sz w:val="20"/>
                    </w:rPr>
                    <m:t>in</m:t>
                  </m:r>
                </m:sub>
              </m:sSub>
              <m:r>
                <w:rPr>
                  <w:rFonts w:ascii="Cambria Math" w:hAnsi="Cambria Math"/>
                  <w:sz w:val="20"/>
                </w:rPr>
                <m:t>=</m:t>
              </m:r>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P</m:t>
                      </m:r>
                    </m:e>
                    <m:sub>
                      <m:r>
                        <w:rPr>
                          <w:rFonts w:ascii="Cambria Math" w:hAnsi="Cambria Math"/>
                          <w:sz w:val="20"/>
                        </w:rPr>
                        <m:t>k</m:t>
                      </m:r>
                    </m:sub>
                  </m:sSub>
                </m:num>
                <m:den>
                  <m:r>
                    <w:rPr>
                      <w:rFonts w:ascii="Cambria Math" w:hAnsi="Cambria Math"/>
                      <w:sz w:val="20"/>
                    </w:rPr>
                    <m:t>N</m:t>
                  </m:r>
                </m:den>
              </m:f>
              <m:r>
                <w:rPr>
                  <w:rFonts w:ascii="Cambria Math" w:hAnsi="Cambria Math"/>
                  <w:sz w:val="20"/>
                </w:rPr>
                <m:t>=</m:t>
              </m:r>
              <m:f>
                <m:fPr>
                  <m:ctrlPr>
                    <w:rPr>
                      <w:rFonts w:ascii="Cambria Math" w:hAnsi="Cambria Math"/>
                      <w:i/>
                      <w:sz w:val="20"/>
                    </w:rPr>
                  </m:ctrlPr>
                </m:fPr>
                <m:num>
                  <m:f>
                    <m:fPr>
                      <m:type m:val="lin"/>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P</m:t>
                          </m:r>
                        </m:e>
                        <m:sub>
                          <m:r>
                            <w:rPr>
                              <w:rFonts w:ascii="Cambria Math" w:hAnsi="Cambria Math"/>
                              <w:sz w:val="20"/>
                            </w:rPr>
                            <m:t>avg</m:t>
                          </m:r>
                        </m:sub>
                      </m:sSub>
                    </m:num>
                    <m:den>
                      <m:d>
                        <m:dPr>
                          <m:ctrlPr>
                            <w:rPr>
                              <w:rFonts w:ascii="Cambria Math" w:hAnsi="Cambria Math"/>
                              <w:i/>
                              <w:sz w:val="20"/>
                            </w:rPr>
                          </m:ctrlPr>
                        </m:dPr>
                        <m:e>
                          <m:r>
                            <w:rPr>
                              <w:rFonts w:ascii="Cambria Math" w:hAnsi="Cambria Math"/>
                              <w:sz w:val="20"/>
                            </w:rPr>
                            <m:t>f∙τ</m:t>
                          </m:r>
                        </m:e>
                      </m:d>
                    </m:den>
                  </m:f>
                </m:num>
                <m:den>
                  <m:sSup>
                    <m:sSupPr>
                      <m:ctrlPr>
                        <w:rPr>
                          <w:rFonts w:ascii="Cambria Math" w:hAnsi="Cambria Math"/>
                          <w:i/>
                          <w:sz w:val="20"/>
                        </w:rPr>
                      </m:ctrlPr>
                    </m:sSupPr>
                    <m:e>
                      <m:d>
                        <m:dPr>
                          <m:ctrlPr>
                            <w:rPr>
                              <w:rFonts w:ascii="Cambria Math" w:hAnsi="Cambria Math"/>
                              <w:i/>
                              <w:sz w:val="20"/>
                            </w:rPr>
                          </m:ctrlPr>
                        </m:dPr>
                        <m:e>
                          <m:f>
                            <m:fPr>
                              <m:type m:val="lin"/>
                              <m:ctrlPr>
                                <w:rPr>
                                  <w:rFonts w:ascii="Cambria Math" w:hAnsi="Cambria Math"/>
                                  <w:i/>
                                  <w:sz w:val="20"/>
                                </w:rPr>
                              </m:ctrlPr>
                            </m:fPr>
                            <m:num>
                              <m:r>
                                <w:rPr>
                                  <w:rFonts w:ascii="Cambria Math" w:hAnsi="Cambria Math"/>
                                  <w:sz w:val="20"/>
                                </w:rPr>
                                <m:t>d</m:t>
                              </m:r>
                            </m:num>
                            <m:den>
                              <m:sSub>
                                <m:sSubPr>
                                  <m:ctrlPr>
                                    <w:rPr>
                                      <w:rFonts w:ascii="Cambria Math" w:hAnsi="Cambria Math"/>
                                      <w:i/>
                                      <w:sz w:val="20"/>
                                    </w:rPr>
                                  </m:ctrlPr>
                                </m:sSubPr>
                                <m:e>
                                  <m:r>
                                    <w:rPr>
                                      <w:rFonts w:ascii="Cambria Math" w:hAnsi="Cambria Math"/>
                                      <w:sz w:val="20"/>
                                    </w:rPr>
                                    <m:t>P</m:t>
                                  </m:r>
                                </m:e>
                                <m:sub>
                                  <m:r>
                                    <w:rPr>
                                      <w:rFonts w:ascii="Cambria Math" w:hAnsi="Cambria Math"/>
                                      <w:sz w:val="20"/>
                                    </w:rPr>
                                    <m:t>x</m:t>
                                  </m:r>
                                </m:sub>
                              </m:sSub>
                            </m:den>
                          </m:f>
                        </m:e>
                      </m:d>
                    </m:e>
                    <m:sup>
                      <m:r>
                        <w:rPr>
                          <w:rFonts w:ascii="Cambria Math" w:hAnsi="Cambria Math"/>
                          <w:sz w:val="20"/>
                        </w:rPr>
                        <m:t>2</m:t>
                      </m:r>
                    </m:sup>
                  </m:sSup>
                </m:den>
              </m:f>
              <m:r>
                <w:rPr>
                  <w:rFonts w:ascii="Cambria Math" w:hAnsi="Cambria Math"/>
                  <w:sz w:val="20"/>
                </w:rPr>
                <m:t>#</m:t>
              </m:r>
              <m:d>
                <m:dPr>
                  <m:ctrlPr>
                    <w:rPr>
                      <w:rFonts w:ascii="Cambria Math" w:hAnsi="Cambria Math"/>
                      <w:sz w:val="20"/>
                    </w:rPr>
                  </m:ctrlPr>
                </m:dPr>
                <m:e>
                  <m:r>
                    <m:rPr>
                      <m:sty m:val="p"/>
                    </m:rPr>
                    <w:rPr>
                      <w:rFonts w:ascii="Cambria Math" w:hAnsi="Cambria Math"/>
                      <w:sz w:val="20"/>
                    </w:rPr>
                    <m:t>S8</m:t>
                  </m:r>
                </m:e>
              </m:d>
            </m:e>
          </m:eqArr>
        </m:oMath>
      </m:oMathPara>
    </w:p>
    <w:p w14:paraId="418AAD3F" w14:textId="77777777" w:rsidR="00CF76C8" w:rsidRPr="00CF76C8" w:rsidRDefault="00CF76C8" w:rsidP="00CF76C8">
      <w:pPr>
        <w:pStyle w:val="10BodySubsequentParagraph"/>
      </w:pPr>
    </w:p>
    <w:p w14:paraId="7F75C465" w14:textId="77777777" w:rsidR="00474C0F" w:rsidRDefault="00474C0F" w:rsidP="00CD3D08">
      <w:pPr>
        <w:spacing w:before="120" w:after="0"/>
        <w:ind w:firstLineChars="200" w:firstLine="400"/>
        <w:jc w:val="center"/>
        <w:rPr>
          <w:rFonts w:ascii="Times New Roman" w:hAnsi="Times New Roman"/>
          <w:sz w:val="20"/>
        </w:rPr>
      </w:pPr>
      <w:r>
        <w:rPr>
          <w:rFonts w:ascii="Times New Roman" w:hAnsi="Times New Roman"/>
          <w:noProof/>
          <w:sz w:val="20"/>
        </w:rPr>
        <w:drawing>
          <wp:inline distT="0" distB="0" distL="0" distR="0" wp14:anchorId="513EA975" wp14:editId="5C6EC03E">
            <wp:extent cx="2864006" cy="2394329"/>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4006" cy="2394329"/>
                    </a:xfrm>
                    <a:prstGeom prst="rect">
                      <a:avLst/>
                    </a:prstGeom>
                  </pic:spPr>
                </pic:pic>
              </a:graphicData>
            </a:graphic>
          </wp:inline>
        </w:drawing>
      </w:r>
    </w:p>
    <w:p w14:paraId="63FC5F5C" w14:textId="4FBF8A18" w:rsidR="00474C0F" w:rsidRPr="00A32E35" w:rsidRDefault="00474C0F" w:rsidP="004D0EEF">
      <w:pPr>
        <w:pStyle w:val="12FigureCaptionShort"/>
        <w:jc w:val="both"/>
        <w:rPr>
          <w:rFonts w:ascii="Arial" w:hAnsi="Arial" w:cs="Arial"/>
        </w:rPr>
      </w:pPr>
      <w:r w:rsidRPr="00A32E35">
        <w:rPr>
          <w:rFonts w:ascii="Arial" w:hAnsi="Arial" w:cs="Arial"/>
        </w:rPr>
        <w:t>Fig</w:t>
      </w:r>
      <w:r w:rsidR="000013B7" w:rsidRPr="00A32E35">
        <w:rPr>
          <w:rFonts w:ascii="Arial" w:hAnsi="Arial" w:cs="Arial"/>
        </w:rPr>
        <w:t>.</w:t>
      </w:r>
      <w:r w:rsidRPr="00A32E35">
        <w:rPr>
          <w:rFonts w:ascii="Arial" w:hAnsi="Arial" w:cs="Arial"/>
        </w:rPr>
        <w:t xml:space="preserve"> S</w:t>
      </w:r>
      <w:r w:rsidR="008904A5" w:rsidRPr="00A32E35">
        <w:rPr>
          <w:rFonts w:ascii="Arial" w:hAnsi="Arial" w:cs="Arial"/>
        </w:rPr>
        <w:t>10</w:t>
      </w:r>
      <w:r w:rsidRPr="00A32E35">
        <w:rPr>
          <w:rFonts w:ascii="Arial" w:hAnsi="Arial" w:cs="Arial"/>
        </w:rPr>
        <w:t xml:space="preserve">. Theoretical calculations on the power-dependent transmission spectra of a nanorod metasurface. (a) 3D optical model system for the calculation of power-dependent transmission. </w:t>
      </w:r>
      <w:r w:rsidRPr="00514F5B">
        <w:rPr>
          <w:rFonts w:ascii="Arial" w:hAnsi="Arial" w:cs="Arial"/>
          <w:i/>
          <w:iCs/>
        </w:rPr>
        <w:t>P</w:t>
      </w:r>
      <w:r w:rsidRPr="00514F5B">
        <w:rPr>
          <w:rFonts w:ascii="Arial" w:hAnsi="Arial" w:cs="Arial"/>
          <w:i/>
          <w:iCs/>
          <w:vertAlign w:val="subscript"/>
        </w:rPr>
        <w:t>x</w:t>
      </w:r>
      <w:r w:rsidRPr="00A32E35">
        <w:rPr>
          <w:rFonts w:ascii="Arial" w:hAnsi="Arial" w:cs="Arial"/>
        </w:rPr>
        <w:t xml:space="preserve"> and </w:t>
      </w:r>
      <w:r w:rsidRPr="00514F5B">
        <w:rPr>
          <w:rFonts w:ascii="Arial" w:hAnsi="Arial" w:cs="Arial"/>
          <w:i/>
          <w:iCs/>
        </w:rPr>
        <w:t>P</w:t>
      </w:r>
      <w:r w:rsidRPr="00514F5B">
        <w:rPr>
          <w:rFonts w:ascii="Arial" w:hAnsi="Arial" w:cs="Arial"/>
          <w:i/>
          <w:iCs/>
          <w:vertAlign w:val="subscript"/>
        </w:rPr>
        <w:t>y</w:t>
      </w:r>
      <w:r w:rsidRPr="00A32E35">
        <w:rPr>
          <w:rFonts w:ascii="Arial" w:hAnsi="Arial" w:cs="Arial"/>
        </w:rPr>
        <w:t xml:space="preserve"> are the transverse and longitudinal periods of an Au nanorod array, respectively. </w:t>
      </w:r>
      <w:r w:rsidRPr="00514F5B">
        <w:rPr>
          <w:rFonts w:ascii="Arial" w:hAnsi="Arial" w:cs="Arial"/>
          <w:i/>
          <w:iCs/>
        </w:rPr>
        <w:t>L, W</w:t>
      </w:r>
      <w:r w:rsidRPr="00A32E35">
        <w:rPr>
          <w:rFonts w:ascii="Arial" w:hAnsi="Arial" w:cs="Arial"/>
        </w:rPr>
        <w:t xml:space="preserve"> and </w:t>
      </w:r>
      <w:r w:rsidRPr="00514F5B">
        <w:rPr>
          <w:rFonts w:ascii="Arial" w:hAnsi="Arial" w:cs="Arial"/>
          <w:i/>
          <w:iCs/>
        </w:rPr>
        <w:t>T</w:t>
      </w:r>
      <w:r w:rsidRPr="00A32E35">
        <w:rPr>
          <w:rFonts w:ascii="Arial" w:hAnsi="Arial" w:cs="Arial"/>
        </w:rPr>
        <w:t xml:space="preserve"> denote respectively the length, the width, and the thickness of the nanorods. (b) Optical nonlinearity induced dip position shifts of transmission spectra of the nanorod array. (c) Power- and polarization-dependent transmission of the nanorod array in on-resonance (optical wavelength1550 nm) excitation condition. The black arrows represent the polarization angles with respect to the long axis of nanorods. (d) Power-dependent transmission of the nanorod array in the low input power regime as functions of </w:t>
      </w:r>
      <w:r w:rsidRPr="00CD7E37">
        <w:rPr>
          <w:rFonts w:ascii="Arial" w:hAnsi="Arial" w:cs="Arial"/>
          <w:i/>
          <w:iCs/>
        </w:rPr>
        <w:t>Reχ</w:t>
      </w:r>
      <w:r w:rsidRPr="00CD7E37">
        <w:rPr>
          <w:rFonts w:ascii="Arial" w:hAnsi="Arial" w:cs="Arial"/>
          <w:i/>
          <w:iCs/>
          <w:vertAlign w:val="superscript"/>
        </w:rPr>
        <w:t>3</w:t>
      </w:r>
      <w:r w:rsidRPr="00A32E35">
        <w:rPr>
          <w:rFonts w:ascii="Arial" w:hAnsi="Arial" w:cs="Arial"/>
        </w:rPr>
        <w:t>.</w:t>
      </w:r>
    </w:p>
    <w:p w14:paraId="3D6C3CFC" w14:textId="77777777" w:rsidR="00474C0F" w:rsidRDefault="00474C0F" w:rsidP="001075E7">
      <w:pPr>
        <w:pStyle w:val="09BodyFirstParagraph"/>
        <w:spacing w:before="0"/>
        <w:ind w:firstLineChars="200" w:firstLine="400"/>
      </w:pPr>
      <w:r>
        <w:rPr>
          <w:rFonts w:hint="eastAsia"/>
        </w:rPr>
        <w:lastRenderedPageBreak/>
        <w:t>w</w:t>
      </w:r>
      <w:r>
        <w:t xml:space="preserve">here </w:t>
      </w:r>
      <w:r w:rsidRPr="000E390D">
        <w:rPr>
          <w:i/>
          <w:iCs/>
        </w:rPr>
        <w:t>P</w:t>
      </w:r>
      <w:r w:rsidRPr="000E390D">
        <w:rPr>
          <w:i/>
          <w:iCs/>
          <w:vertAlign w:val="subscript"/>
        </w:rPr>
        <w:t>k</w:t>
      </w:r>
      <w:r w:rsidRPr="000E390D">
        <w:rPr>
          <w:i/>
          <w:iCs/>
        </w:rPr>
        <w:t xml:space="preserve"> </w:t>
      </w:r>
      <w:r>
        <w:t xml:space="preserve">is the laser peak power, </w:t>
      </w:r>
      <w:r w:rsidRPr="000E390D">
        <w:rPr>
          <w:i/>
          <w:iCs/>
        </w:rPr>
        <w:t xml:space="preserve">N </w:t>
      </w:r>
      <w:r>
        <w:t xml:space="preserve">is the number of unit cell in the beam focus, </w:t>
      </w:r>
      <w:r w:rsidRPr="000E390D">
        <w:rPr>
          <w:i/>
          <w:iCs/>
        </w:rPr>
        <w:t>P</w:t>
      </w:r>
      <w:r w:rsidRPr="000E390D">
        <w:rPr>
          <w:i/>
          <w:iCs/>
          <w:vertAlign w:val="subscript"/>
        </w:rPr>
        <w:t xml:space="preserve">avg </w:t>
      </w:r>
      <w:r>
        <w:t xml:space="preserve">is the averaged power in the focus, </w:t>
      </w:r>
      <w:r w:rsidRPr="000E390D">
        <w:rPr>
          <w:i/>
          <w:iCs/>
        </w:rPr>
        <w:t>f</w:t>
      </w:r>
      <w:r>
        <w:t xml:space="preserve"> is the repetition rate, </w:t>
      </w:r>
      <w:r w:rsidRPr="000E390D">
        <w:rPr>
          <w:i/>
          <w:iCs/>
        </w:rPr>
        <w:t>τ</w:t>
      </w:r>
      <w:r>
        <w:t xml:space="preserve"> is the pulse duration, </w:t>
      </w:r>
      <w:r w:rsidRPr="000E390D">
        <w:rPr>
          <w:i/>
          <w:iCs/>
        </w:rPr>
        <w:t>d</w:t>
      </w:r>
      <w:r>
        <w:t xml:space="preserve"> is the beam diameter. The laser parameters in our experiment are listed in Table S1.</w:t>
      </w:r>
    </w:p>
    <w:p w14:paraId="7C6C7359" w14:textId="77777777" w:rsidR="00474C0F" w:rsidRPr="00FF32CB" w:rsidRDefault="00474C0F" w:rsidP="001075E7">
      <w:pPr>
        <w:pStyle w:val="14TableCaption"/>
        <w:rPr>
          <w:sz w:val="20"/>
          <w:szCs w:val="28"/>
        </w:rPr>
      </w:pPr>
      <w:r w:rsidRPr="00FF32CB">
        <w:rPr>
          <w:rFonts w:hint="eastAsia"/>
          <w:sz w:val="20"/>
          <w:szCs w:val="28"/>
        </w:rPr>
        <w:t>T</w:t>
      </w:r>
      <w:r w:rsidRPr="00FF32CB">
        <w:rPr>
          <w:sz w:val="20"/>
          <w:szCs w:val="28"/>
        </w:rPr>
        <w:t>able S1. Laser parameters used in the experiment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1094"/>
      </w:tblGrid>
      <w:tr w:rsidR="00474C0F" w14:paraId="2DE22D60" w14:textId="77777777" w:rsidTr="000628EB">
        <w:trPr>
          <w:jc w:val="center"/>
        </w:trPr>
        <w:tc>
          <w:tcPr>
            <w:tcW w:w="0" w:type="auto"/>
            <w:tcBorders>
              <w:top w:val="single" w:sz="4" w:space="0" w:color="auto"/>
              <w:bottom w:val="single" w:sz="4" w:space="0" w:color="auto"/>
            </w:tcBorders>
            <w:vAlign w:val="center"/>
          </w:tcPr>
          <w:p w14:paraId="67921B6F" w14:textId="77777777" w:rsidR="00474C0F" w:rsidRPr="00FF32CB" w:rsidRDefault="00474C0F" w:rsidP="00FF32CB">
            <w:pPr>
              <w:pStyle w:val="15TableBody"/>
              <w:jc w:val="center"/>
              <w:rPr>
                <w:sz w:val="20"/>
                <w:szCs w:val="28"/>
              </w:rPr>
            </w:pPr>
            <w:r w:rsidRPr="00FF32CB">
              <w:rPr>
                <w:rFonts w:hint="eastAsia"/>
                <w:sz w:val="20"/>
                <w:szCs w:val="28"/>
              </w:rPr>
              <w:t>L</w:t>
            </w:r>
            <w:r w:rsidRPr="00FF32CB">
              <w:rPr>
                <w:sz w:val="20"/>
                <w:szCs w:val="28"/>
              </w:rPr>
              <w:t>aser parameter</w:t>
            </w:r>
          </w:p>
        </w:tc>
        <w:tc>
          <w:tcPr>
            <w:tcW w:w="0" w:type="auto"/>
            <w:tcBorders>
              <w:top w:val="single" w:sz="4" w:space="0" w:color="auto"/>
              <w:bottom w:val="single" w:sz="4" w:space="0" w:color="auto"/>
            </w:tcBorders>
            <w:vAlign w:val="center"/>
          </w:tcPr>
          <w:p w14:paraId="6B336623" w14:textId="77777777" w:rsidR="00474C0F" w:rsidRPr="00FF32CB" w:rsidRDefault="00474C0F" w:rsidP="00FF32CB">
            <w:pPr>
              <w:pStyle w:val="15TableBody"/>
              <w:jc w:val="center"/>
              <w:rPr>
                <w:sz w:val="20"/>
                <w:szCs w:val="28"/>
              </w:rPr>
            </w:pPr>
            <w:r w:rsidRPr="00FF32CB">
              <w:rPr>
                <w:rFonts w:hint="eastAsia"/>
                <w:sz w:val="20"/>
                <w:szCs w:val="28"/>
              </w:rPr>
              <w:t>v</w:t>
            </w:r>
            <w:r w:rsidRPr="00FF32CB">
              <w:rPr>
                <w:sz w:val="20"/>
                <w:szCs w:val="28"/>
              </w:rPr>
              <w:t>alue</w:t>
            </w:r>
          </w:p>
        </w:tc>
      </w:tr>
      <w:tr w:rsidR="00474C0F" w14:paraId="616E429B" w14:textId="77777777" w:rsidTr="000628EB">
        <w:trPr>
          <w:jc w:val="center"/>
        </w:trPr>
        <w:tc>
          <w:tcPr>
            <w:tcW w:w="0" w:type="auto"/>
            <w:tcBorders>
              <w:top w:val="single" w:sz="4" w:space="0" w:color="auto"/>
            </w:tcBorders>
            <w:vAlign w:val="center"/>
          </w:tcPr>
          <w:p w14:paraId="58F37BA3" w14:textId="77777777" w:rsidR="00474C0F" w:rsidRPr="00FF32CB" w:rsidRDefault="00474C0F" w:rsidP="00FF32CB">
            <w:pPr>
              <w:pStyle w:val="15TableBody"/>
              <w:jc w:val="center"/>
              <w:rPr>
                <w:i/>
                <w:iCs/>
                <w:sz w:val="20"/>
                <w:szCs w:val="28"/>
              </w:rPr>
            </w:pPr>
            <w:r w:rsidRPr="00FF32CB">
              <w:rPr>
                <w:i/>
                <w:iCs/>
                <w:sz w:val="20"/>
                <w:szCs w:val="28"/>
              </w:rPr>
              <w:t>λ</w:t>
            </w:r>
          </w:p>
        </w:tc>
        <w:tc>
          <w:tcPr>
            <w:tcW w:w="0" w:type="auto"/>
            <w:tcBorders>
              <w:top w:val="single" w:sz="4" w:space="0" w:color="auto"/>
            </w:tcBorders>
            <w:vAlign w:val="center"/>
          </w:tcPr>
          <w:p w14:paraId="0FDB0C29" w14:textId="77777777" w:rsidR="00474C0F" w:rsidRPr="00FF32CB" w:rsidRDefault="00474C0F" w:rsidP="00FF32CB">
            <w:pPr>
              <w:pStyle w:val="15TableBody"/>
              <w:jc w:val="center"/>
              <w:rPr>
                <w:sz w:val="20"/>
                <w:szCs w:val="28"/>
              </w:rPr>
            </w:pPr>
            <w:r w:rsidRPr="00FF32CB">
              <w:rPr>
                <w:rFonts w:hint="eastAsia"/>
                <w:sz w:val="20"/>
                <w:szCs w:val="28"/>
              </w:rPr>
              <w:t>1</w:t>
            </w:r>
            <w:r w:rsidRPr="00FF32CB">
              <w:rPr>
                <w:sz w:val="20"/>
                <w:szCs w:val="28"/>
              </w:rPr>
              <w:t>550 nm</w:t>
            </w:r>
          </w:p>
        </w:tc>
      </w:tr>
      <w:tr w:rsidR="00474C0F" w14:paraId="672EFFFB" w14:textId="77777777" w:rsidTr="000628EB">
        <w:trPr>
          <w:jc w:val="center"/>
        </w:trPr>
        <w:tc>
          <w:tcPr>
            <w:tcW w:w="0" w:type="auto"/>
            <w:vAlign w:val="center"/>
          </w:tcPr>
          <w:p w14:paraId="5DFE199C" w14:textId="77777777" w:rsidR="00474C0F" w:rsidRPr="00FF32CB" w:rsidRDefault="00474C0F" w:rsidP="00FF32CB">
            <w:pPr>
              <w:pStyle w:val="15TableBody"/>
              <w:jc w:val="center"/>
              <w:rPr>
                <w:i/>
                <w:iCs/>
                <w:sz w:val="20"/>
                <w:szCs w:val="28"/>
              </w:rPr>
            </w:pPr>
            <w:r w:rsidRPr="00FF32CB">
              <w:rPr>
                <w:i/>
                <w:iCs/>
                <w:sz w:val="20"/>
                <w:szCs w:val="28"/>
              </w:rPr>
              <w:t>P</w:t>
            </w:r>
            <w:r w:rsidRPr="00FF32CB">
              <w:rPr>
                <w:i/>
                <w:iCs/>
                <w:sz w:val="20"/>
                <w:szCs w:val="28"/>
                <w:vertAlign w:val="subscript"/>
              </w:rPr>
              <w:t>avg</w:t>
            </w:r>
          </w:p>
        </w:tc>
        <w:tc>
          <w:tcPr>
            <w:tcW w:w="0" w:type="auto"/>
            <w:vAlign w:val="center"/>
          </w:tcPr>
          <w:p w14:paraId="782965B0" w14:textId="77777777" w:rsidR="00474C0F" w:rsidRPr="00FF32CB" w:rsidRDefault="00474C0F" w:rsidP="00FF32CB">
            <w:pPr>
              <w:pStyle w:val="15TableBody"/>
              <w:jc w:val="center"/>
              <w:rPr>
                <w:sz w:val="20"/>
                <w:szCs w:val="28"/>
              </w:rPr>
            </w:pPr>
            <w:r w:rsidRPr="00FF32CB">
              <w:rPr>
                <w:rFonts w:hint="eastAsia"/>
                <w:sz w:val="20"/>
                <w:szCs w:val="28"/>
              </w:rPr>
              <w:t>0</w:t>
            </w:r>
            <w:r w:rsidRPr="00FF32CB">
              <w:rPr>
                <w:sz w:val="20"/>
                <w:szCs w:val="28"/>
              </w:rPr>
              <w:t>-2.5 mW</w:t>
            </w:r>
          </w:p>
        </w:tc>
      </w:tr>
      <w:tr w:rsidR="00474C0F" w14:paraId="5971C6A6" w14:textId="77777777" w:rsidTr="000628EB">
        <w:trPr>
          <w:jc w:val="center"/>
        </w:trPr>
        <w:tc>
          <w:tcPr>
            <w:tcW w:w="0" w:type="auto"/>
            <w:vAlign w:val="center"/>
          </w:tcPr>
          <w:p w14:paraId="111F2185" w14:textId="77777777" w:rsidR="00474C0F" w:rsidRPr="00FF32CB" w:rsidRDefault="00474C0F" w:rsidP="00FF32CB">
            <w:pPr>
              <w:pStyle w:val="15TableBody"/>
              <w:jc w:val="center"/>
              <w:rPr>
                <w:i/>
                <w:iCs/>
                <w:sz w:val="20"/>
                <w:szCs w:val="28"/>
              </w:rPr>
            </w:pPr>
            <w:r w:rsidRPr="00FF32CB">
              <w:rPr>
                <w:i/>
                <w:iCs/>
                <w:sz w:val="20"/>
                <w:szCs w:val="28"/>
              </w:rPr>
              <w:t>f</w:t>
            </w:r>
          </w:p>
        </w:tc>
        <w:tc>
          <w:tcPr>
            <w:tcW w:w="0" w:type="auto"/>
            <w:vAlign w:val="center"/>
          </w:tcPr>
          <w:p w14:paraId="72559CEB" w14:textId="77777777" w:rsidR="00474C0F" w:rsidRPr="00FF32CB" w:rsidRDefault="00474C0F" w:rsidP="00FF32CB">
            <w:pPr>
              <w:pStyle w:val="15TableBody"/>
              <w:jc w:val="center"/>
              <w:rPr>
                <w:sz w:val="20"/>
                <w:szCs w:val="28"/>
              </w:rPr>
            </w:pPr>
            <w:r w:rsidRPr="00FF32CB">
              <w:rPr>
                <w:rFonts w:hint="eastAsia"/>
                <w:sz w:val="20"/>
                <w:szCs w:val="28"/>
              </w:rPr>
              <w:t>1</w:t>
            </w:r>
            <w:r w:rsidRPr="00FF32CB">
              <w:rPr>
                <w:sz w:val="20"/>
                <w:szCs w:val="28"/>
              </w:rPr>
              <w:t>0.32 KHz</w:t>
            </w:r>
          </w:p>
        </w:tc>
      </w:tr>
      <w:tr w:rsidR="00474C0F" w14:paraId="7A900117" w14:textId="77777777" w:rsidTr="000628EB">
        <w:trPr>
          <w:jc w:val="center"/>
        </w:trPr>
        <w:tc>
          <w:tcPr>
            <w:tcW w:w="0" w:type="auto"/>
            <w:vAlign w:val="center"/>
          </w:tcPr>
          <w:p w14:paraId="7CDEC211" w14:textId="77777777" w:rsidR="00474C0F" w:rsidRPr="00FF32CB" w:rsidRDefault="00474C0F" w:rsidP="00FF32CB">
            <w:pPr>
              <w:pStyle w:val="15TableBody"/>
              <w:jc w:val="center"/>
              <w:rPr>
                <w:i/>
                <w:iCs/>
                <w:sz w:val="20"/>
                <w:szCs w:val="28"/>
              </w:rPr>
            </w:pPr>
            <w:r w:rsidRPr="00FF32CB">
              <w:rPr>
                <w:i/>
                <w:iCs/>
                <w:sz w:val="20"/>
                <w:szCs w:val="28"/>
              </w:rPr>
              <w:t>τ</w:t>
            </w:r>
          </w:p>
        </w:tc>
        <w:tc>
          <w:tcPr>
            <w:tcW w:w="0" w:type="auto"/>
            <w:vAlign w:val="center"/>
          </w:tcPr>
          <w:p w14:paraId="08C7F85F" w14:textId="77777777" w:rsidR="00474C0F" w:rsidRPr="00FF32CB" w:rsidRDefault="00474C0F" w:rsidP="00FF32CB">
            <w:pPr>
              <w:pStyle w:val="15TableBody"/>
              <w:jc w:val="center"/>
              <w:rPr>
                <w:sz w:val="20"/>
                <w:szCs w:val="28"/>
              </w:rPr>
            </w:pPr>
            <w:r w:rsidRPr="00FF32CB">
              <w:rPr>
                <w:sz w:val="20"/>
                <w:szCs w:val="28"/>
              </w:rPr>
              <w:t>179 fs</w:t>
            </w:r>
          </w:p>
        </w:tc>
      </w:tr>
      <w:tr w:rsidR="00474C0F" w14:paraId="035AF8A2" w14:textId="77777777" w:rsidTr="000628EB">
        <w:trPr>
          <w:jc w:val="center"/>
        </w:trPr>
        <w:tc>
          <w:tcPr>
            <w:tcW w:w="0" w:type="auto"/>
            <w:tcBorders>
              <w:bottom w:val="single" w:sz="4" w:space="0" w:color="auto"/>
            </w:tcBorders>
            <w:vAlign w:val="center"/>
          </w:tcPr>
          <w:p w14:paraId="0186D27C" w14:textId="77777777" w:rsidR="00474C0F" w:rsidRPr="00FF32CB" w:rsidRDefault="00474C0F" w:rsidP="00FF32CB">
            <w:pPr>
              <w:pStyle w:val="15TableBody"/>
              <w:jc w:val="center"/>
              <w:rPr>
                <w:i/>
                <w:iCs/>
                <w:sz w:val="20"/>
                <w:szCs w:val="28"/>
              </w:rPr>
            </w:pPr>
            <w:r w:rsidRPr="00FF32CB">
              <w:rPr>
                <w:i/>
                <w:iCs/>
                <w:sz w:val="20"/>
                <w:szCs w:val="28"/>
              </w:rPr>
              <w:t>d</w:t>
            </w:r>
          </w:p>
        </w:tc>
        <w:tc>
          <w:tcPr>
            <w:tcW w:w="0" w:type="auto"/>
            <w:tcBorders>
              <w:bottom w:val="single" w:sz="4" w:space="0" w:color="auto"/>
            </w:tcBorders>
            <w:vAlign w:val="center"/>
          </w:tcPr>
          <w:p w14:paraId="2C458DBB" w14:textId="77777777" w:rsidR="00474C0F" w:rsidRPr="00FF32CB" w:rsidRDefault="00474C0F" w:rsidP="00FF32CB">
            <w:pPr>
              <w:pStyle w:val="15TableBody"/>
              <w:jc w:val="center"/>
              <w:rPr>
                <w:sz w:val="20"/>
                <w:szCs w:val="28"/>
              </w:rPr>
            </w:pPr>
            <w:r w:rsidRPr="00FF32CB">
              <w:rPr>
                <w:sz w:val="20"/>
                <w:szCs w:val="28"/>
              </w:rPr>
              <w:t>~</w:t>
            </w:r>
            <w:r w:rsidRPr="00FF32CB">
              <w:rPr>
                <w:rFonts w:hint="eastAsia"/>
                <w:sz w:val="20"/>
                <w:szCs w:val="28"/>
              </w:rPr>
              <w:t>8</w:t>
            </w:r>
            <w:r w:rsidRPr="00FF32CB">
              <w:rPr>
                <w:sz w:val="20"/>
                <w:szCs w:val="28"/>
              </w:rPr>
              <w:t>5 μm</w:t>
            </w:r>
          </w:p>
        </w:tc>
      </w:tr>
    </w:tbl>
    <w:p w14:paraId="54011895" w14:textId="77777777" w:rsidR="00474C0F" w:rsidRDefault="00474C0F" w:rsidP="00FE6912">
      <w:pPr>
        <w:pStyle w:val="09BodyFirstParagraph"/>
        <w:ind w:firstLineChars="200" w:firstLine="400"/>
      </w:pPr>
      <w:r>
        <w:rPr>
          <w:rFonts w:hint="eastAsia"/>
        </w:rPr>
        <w:t>I</w:t>
      </w:r>
      <w:r>
        <w:t xml:space="preserve">n order to quantify the plasmonic resonance shift promoted by the high laser power, the optical nonlinearity dominated by the Kerr effect is considered. The relative permittivity of Au nanorods is expressed as: </w:t>
      </w:r>
    </w:p>
    <w:p w14:paraId="4918F763" w14:textId="77777777" w:rsidR="00474C0F" w:rsidRDefault="00000000" w:rsidP="00474C0F">
      <w:pPr>
        <w:ind w:firstLineChars="200" w:firstLine="400"/>
        <w:rPr>
          <w:rFonts w:ascii="Times New Roman" w:hAnsi="Times New Roman"/>
          <w:sz w:val="20"/>
        </w:rPr>
      </w:pPr>
      <m:oMathPara>
        <m:oMath>
          <m:eqArr>
            <m:eqArrPr>
              <m:maxDist m:val="1"/>
              <m:ctrlPr>
                <w:rPr>
                  <w:rFonts w:ascii="Cambria Math" w:hAnsi="Cambria Math"/>
                  <w:sz w:val="20"/>
                </w:rPr>
              </m:ctrlPr>
            </m:eqArrPr>
            <m:e>
              <m:r>
                <w:rPr>
                  <w:rFonts w:ascii="Cambria Math" w:hAnsi="Cambria Math"/>
                  <w:sz w:val="20"/>
                </w:rPr>
                <m:t>ε= </m:t>
              </m:r>
              <m:sSub>
                <m:sSubPr>
                  <m:ctrlPr>
                    <w:rPr>
                      <w:rFonts w:ascii="Cambria Math" w:hAnsi="Cambria Math"/>
                      <w:i/>
                      <w:sz w:val="20"/>
                    </w:rPr>
                  </m:ctrlPr>
                </m:sSubPr>
                <m:e>
                  <m:r>
                    <w:rPr>
                      <w:rFonts w:ascii="Cambria Math" w:hAnsi="Cambria Math"/>
                      <w:sz w:val="20"/>
                    </w:rPr>
                    <m:t>ε</m:t>
                  </m:r>
                </m:e>
                <m:sub>
                  <m:r>
                    <w:rPr>
                      <w:rFonts w:ascii="Cambria Math" w:hAnsi="Cambria Math"/>
                      <w:sz w:val="20"/>
                    </w:rPr>
                    <m:t>L</m:t>
                  </m:r>
                </m:sub>
              </m:sSub>
              <m:r>
                <w:rPr>
                  <w:rFonts w:ascii="Cambria Math" w:hAnsi="Cambria Math"/>
                  <w:sz w:val="20"/>
                </w:rPr>
                <m:t>+</m:t>
              </m:r>
              <m:f>
                <m:fPr>
                  <m:ctrlPr>
                    <w:rPr>
                      <w:rFonts w:ascii="Cambria Math" w:hAnsi="Cambria Math"/>
                      <w:sz w:val="20"/>
                    </w:rPr>
                  </m:ctrlPr>
                </m:fPr>
                <m:num>
                  <m:r>
                    <w:rPr>
                      <w:rFonts w:ascii="Cambria Math" w:hAnsi="Cambria Math"/>
                      <w:sz w:val="20"/>
                    </w:rPr>
                    <m:t>3</m:t>
                  </m:r>
                  <m:ctrlPr>
                    <w:rPr>
                      <w:rFonts w:ascii="Cambria Math" w:hAnsi="Cambria Math"/>
                      <w:i/>
                      <w:sz w:val="20"/>
                    </w:rPr>
                  </m:ctrlPr>
                </m:num>
                <m:den>
                  <m:r>
                    <w:rPr>
                      <w:rFonts w:ascii="Cambria Math" w:hAnsi="Cambria Math"/>
                      <w:sz w:val="20"/>
                    </w:rPr>
                    <m:t>2</m:t>
                  </m:r>
                  <m:ctrlPr>
                    <w:rPr>
                      <w:rFonts w:ascii="Cambria Math" w:hAnsi="Cambria Math"/>
                      <w:i/>
                      <w:sz w:val="20"/>
                    </w:rPr>
                  </m:ctrlPr>
                </m:den>
              </m:f>
              <m:d>
                <m:dPr>
                  <m:ctrlPr>
                    <w:rPr>
                      <w:rFonts w:ascii="Cambria Math" w:hAnsi="Cambria Math"/>
                      <w:sz w:val="20"/>
                    </w:rPr>
                  </m:ctrlPr>
                </m:dPr>
                <m:e>
                  <m:r>
                    <w:rPr>
                      <w:rFonts w:ascii="Cambria Math" w:hAnsi="Cambria Math"/>
                      <w:sz w:val="20"/>
                    </w:rPr>
                    <m:t>Re</m:t>
                  </m:r>
                  <m:sSup>
                    <m:sSupPr>
                      <m:ctrlPr>
                        <w:rPr>
                          <w:rFonts w:ascii="Cambria Math" w:hAnsi="Cambria Math"/>
                          <w:i/>
                          <w:sz w:val="20"/>
                        </w:rPr>
                      </m:ctrlPr>
                    </m:sSupPr>
                    <m:e>
                      <m:r>
                        <w:rPr>
                          <w:rFonts w:ascii="Cambria Math" w:hAnsi="Cambria Math"/>
                          <w:sz w:val="20"/>
                        </w:rPr>
                        <m:t>χ</m:t>
                      </m:r>
                      <m:ctrlPr>
                        <w:rPr>
                          <w:rFonts w:ascii="Cambria Math" w:hAnsi="Cambria Math"/>
                          <w:sz w:val="20"/>
                        </w:rPr>
                      </m:ctrlPr>
                    </m:e>
                    <m:sup>
                      <m:r>
                        <w:rPr>
                          <w:rFonts w:ascii="Cambria Math" w:hAnsi="Cambria Math"/>
                          <w:sz w:val="20"/>
                        </w:rPr>
                        <m:t>3</m:t>
                      </m:r>
                    </m:sup>
                  </m:sSup>
                  <m:r>
                    <w:rPr>
                      <w:rFonts w:ascii="Cambria Math" w:hAnsi="Cambria Math"/>
                      <w:sz w:val="20"/>
                    </w:rPr>
                    <m:t>-iIm</m:t>
                  </m:r>
                  <m:sSup>
                    <m:sSupPr>
                      <m:ctrlPr>
                        <w:rPr>
                          <w:rFonts w:ascii="Cambria Math" w:hAnsi="Cambria Math"/>
                          <w:i/>
                          <w:sz w:val="20"/>
                        </w:rPr>
                      </m:ctrlPr>
                    </m:sSupPr>
                    <m:e>
                      <m:r>
                        <w:rPr>
                          <w:rFonts w:ascii="Cambria Math" w:hAnsi="Cambria Math"/>
                          <w:sz w:val="20"/>
                        </w:rPr>
                        <m:t>χ</m:t>
                      </m:r>
                      <m:ctrlPr>
                        <w:rPr>
                          <w:rFonts w:ascii="Cambria Math" w:hAnsi="Cambria Math"/>
                          <w:sz w:val="20"/>
                        </w:rPr>
                      </m:ctrlPr>
                    </m:e>
                    <m:sup>
                      <m:r>
                        <w:rPr>
                          <w:rFonts w:ascii="Cambria Math" w:hAnsi="Cambria Math"/>
                          <w:sz w:val="20"/>
                        </w:rPr>
                        <m:t>3</m:t>
                      </m:r>
                    </m:sup>
                  </m:sSup>
                  <m:ctrlPr>
                    <w:rPr>
                      <w:rFonts w:ascii="Cambria Math" w:hAnsi="Cambria Math"/>
                      <w:i/>
                      <w:sz w:val="20"/>
                    </w:rPr>
                  </m:ctrlPr>
                </m:e>
              </m:d>
              <m:sSubSup>
                <m:sSubSupPr>
                  <m:ctrlPr>
                    <w:rPr>
                      <w:rFonts w:ascii="Cambria Math" w:hAnsi="Cambria Math"/>
                      <w:i/>
                      <w:sz w:val="20"/>
                    </w:rPr>
                  </m:ctrlPr>
                </m:sSubSupPr>
                <m:e>
                  <m:r>
                    <w:rPr>
                      <w:rFonts w:ascii="Cambria Math" w:hAnsi="Cambria Math"/>
                      <w:sz w:val="20"/>
                    </w:rPr>
                    <m:t>E</m:t>
                  </m:r>
                </m:e>
                <m:sub>
                  <m:r>
                    <w:rPr>
                      <w:rFonts w:ascii="Cambria Math" w:hAnsi="Cambria Math"/>
                      <w:sz w:val="20"/>
                    </w:rPr>
                    <m:t>int</m:t>
                  </m:r>
                </m:sub>
                <m:sup>
                  <m:r>
                    <w:rPr>
                      <w:rFonts w:ascii="Cambria Math" w:hAnsi="Cambria Math"/>
                      <w:sz w:val="20"/>
                    </w:rPr>
                    <m:t>2</m:t>
                  </m:r>
                </m:sup>
              </m:sSubSup>
              <m:r>
                <w:rPr>
                  <w:rFonts w:ascii="Cambria Math" w:hAnsi="Cambria Math"/>
                  <w:sz w:val="20"/>
                </w:rPr>
                <m:t>#</m:t>
              </m:r>
              <m:d>
                <m:dPr>
                  <m:ctrlPr>
                    <w:rPr>
                      <w:rFonts w:ascii="Cambria Math" w:hAnsi="Cambria Math"/>
                      <w:iCs/>
                      <w:sz w:val="20"/>
                    </w:rPr>
                  </m:ctrlPr>
                </m:dPr>
                <m:e>
                  <m:r>
                    <m:rPr>
                      <m:sty m:val="p"/>
                    </m:rPr>
                    <w:rPr>
                      <w:rFonts w:ascii="Cambria Math" w:hAnsi="Cambria Math"/>
                      <w:sz w:val="20"/>
                    </w:rPr>
                    <m:t>S9</m:t>
                  </m:r>
                </m:e>
              </m:d>
              <m:ctrlPr>
                <w:rPr>
                  <w:rFonts w:ascii="Cambria Math" w:hAnsi="Cambria Math"/>
                  <w:i/>
                  <w:sz w:val="20"/>
                </w:rPr>
              </m:ctrlPr>
            </m:e>
          </m:eqArr>
        </m:oMath>
      </m:oMathPara>
    </w:p>
    <w:p w14:paraId="5DD77EA9" w14:textId="73B11820" w:rsidR="00474C0F" w:rsidRDefault="00474C0F" w:rsidP="00FE6912">
      <w:pPr>
        <w:pStyle w:val="09BodyFirstParagraph"/>
        <w:spacing w:before="0"/>
        <w:ind w:firstLineChars="200" w:firstLine="400"/>
      </w:pPr>
      <w:r>
        <w:rPr>
          <w:rFonts w:hint="eastAsia"/>
        </w:rPr>
        <w:t>w</w:t>
      </w:r>
      <w:r>
        <w:t>here</w:t>
      </w:r>
      <w:r w:rsidRPr="001075E7">
        <w:t xml:space="preserve"> </w:t>
      </w:r>
      <w:r w:rsidRPr="00CD7E37">
        <w:rPr>
          <w:i/>
          <w:iCs/>
        </w:rPr>
        <w:t>ε</w:t>
      </w:r>
      <w:r w:rsidRPr="00FA079F">
        <w:rPr>
          <w:i/>
          <w:iCs/>
          <w:vertAlign w:val="subscript"/>
        </w:rPr>
        <w:t>L</w:t>
      </w:r>
      <w:r w:rsidRPr="001075E7">
        <w:t xml:space="preserve"> </w:t>
      </w:r>
      <w:r>
        <w:t>is</w:t>
      </w:r>
      <w:r w:rsidRPr="000D034D">
        <w:t xml:space="preserve"> the linear relative permittivity, </w:t>
      </w:r>
      <w:r w:rsidRPr="00CD7E37">
        <w:rPr>
          <w:i/>
          <w:iCs/>
        </w:rPr>
        <w:t>E</w:t>
      </w:r>
      <w:r w:rsidRPr="00CD7E37">
        <w:rPr>
          <w:i/>
          <w:iCs/>
          <w:vertAlign w:val="superscript"/>
        </w:rPr>
        <w:t>2</w:t>
      </w:r>
      <w:r w:rsidRPr="00CD7E37">
        <w:rPr>
          <w:i/>
          <w:iCs/>
          <w:vertAlign w:val="subscript"/>
        </w:rPr>
        <w:t>int</w:t>
      </w:r>
      <w:r w:rsidRPr="000D034D">
        <w:t xml:space="preserve"> is </w:t>
      </w:r>
      <w:r>
        <w:t xml:space="preserve">the </w:t>
      </w:r>
      <w:r w:rsidRPr="000D034D">
        <w:t>square of internal electric filed</w:t>
      </w:r>
      <w:r>
        <w:t>,</w:t>
      </w:r>
      <w:r w:rsidRPr="00CD7E37">
        <w:rPr>
          <w:i/>
          <w:iCs/>
        </w:rPr>
        <w:t xml:space="preserve"> χ</w:t>
      </w:r>
      <w:r w:rsidRPr="00CD7E37">
        <w:rPr>
          <w:i/>
          <w:iCs/>
          <w:vertAlign w:val="superscript"/>
        </w:rPr>
        <w:t>3</w:t>
      </w:r>
      <w:r w:rsidRPr="00CD7E37">
        <w:rPr>
          <w:i/>
          <w:iCs/>
        </w:rPr>
        <w:t xml:space="preserve"> </w:t>
      </w:r>
      <w:r>
        <w:t>is</w:t>
      </w:r>
      <w:r w:rsidRPr="00067457">
        <w:t xml:space="preserve"> the th</w:t>
      </w:r>
      <w:r>
        <w:t>ird-order</w:t>
      </w:r>
      <w:r w:rsidRPr="00067457">
        <w:t xml:space="preserve"> susceptibilit</w:t>
      </w:r>
      <w:r w:rsidRPr="00A6490C">
        <w:t>ies</w:t>
      </w:r>
      <w:r>
        <w:t xml:space="preserve">, </w:t>
      </w:r>
      <w:r w:rsidRPr="00CD7E37">
        <w:rPr>
          <w:i/>
          <w:iCs/>
        </w:rPr>
        <w:t>Reχ</w:t>
      </w:r>
      <w:r w:rsidRPr="00CD7E37">
        <w:rPr>
          <w:i/>
          <w:iCs/>
          <w:vertAlign w:val="superscript"/>
        </w:rPr>
        <w:t>3</w:t>
      </w:r>
      <w:r>
        <w:t xml:space="preserve"> </w:t>
      </w:r>
      <w:r>
        <w:rPr>
          <w:rFonts w:hint="eastAsia"/>
        </w:rPr>
        <w:t>and</w:t>
      </w:r>
      <w:r>
        <w:t xml:space="preserve"> </w:t>
      </w:r>
      <w:r w:rsidRPr="00CD7E37">
        <w:rPr>
          <w:i/>
          <w:iCs/>
        </w:rPr>
        <w:t>Imχ</w:t>
      </w:r>
      <w:r w:rsidRPr="00CD7E37">
        <w:rPr>
          <w:i/>
          <w:iCs/>
          <w:vertAlign w:val="superscript"/>
        </w:rPr>
        <w:t>3</w:t>
      </w:r>
      <w:r>
        <w:t xml:space="preserve"> are the real part and imaginary part of </w:t>
      </w:r>
      <w:r w:rsidRPr="00CD7E37">
        <w:rPr>
          <w:i/>
          <w:iCs/>
        </w:rPr>
        <w:t>χ</w:t>
      </w:r>
      <w:r w:rsidRPr="00CD7E37">
        <w:rPr>
          <w:i/>
          <w:iCs/>
          <w:vertAlign w:val="superscript"/>
        </w:rPr>
        <w:t>3</w:t>
      </w:r>
      <w:r w:rsidRPr="00CD7E37">
        <w:rPr>
          <w:i/>
          <w:iCs/>
        </w:rPr>
        <w:t>.</w:t>
      </w:r>
      <w:r>
        <w:t xml:space="preserve"> Dispersed</w:t>
      </w:r>
      <w:r w:rsidRPr="00FA079F">
        <w:rPr>
          <w:i/>
          <w:iCs/>
        </w:rPr>
        <w:t xml:space="preserve"> ε</w:t>
      </w:r>
      <w:r w:rsidRPr="00FA079F">
        <w:rPr>
          <w:i/>
          <w:iCs/>
          <w:vertAlign w:val="subscript"/>
        </w:rPr>
        <w:t>L</w:t>
      </w:r>
      <w:r w:rsidRPr="00FA079F">
        <w:rPr>
          <w:i/>
          <w:iCs/>
        </w:rPr>
        <w:t xml:space="preserve"> </w:t>
      </w:r>
      <w:r>
        <w:t>is obtained from literature</w:t>
      </w:r>
      <w:r w:rsidR="00496C99">
        <w:t xml:space="preserve"> </w:t>
      </w:r>
      <w:r w:rsidR="005A1703">
        <w:fldChar w:fldCharType="begin"/>
      </w:r>
      <w:r w:rsidR="005C77FE">
        <w:instrText xml:space="preserve"> ADDIN EN.CITE &lt;EndNote&gt;&lt;Cite ExcludeAuth="1" ExcludeYear="1"&gt;&lt;RecNum&gt;254&lt;/RecNum&gt;&lt;DisplayText&gt;&lt;style face="superscript"&gt;1&lt;/style&gt;&lt;/DisplayText&gt;&lt;record&gt;&lt;rec-number&gt;254&lt;/rec-number&gt;&lt;foreign-keys&gt;&lt;key app="EN" db-id="dezfexv915dafwesxe75rp2f99trfvtsxdw5" timestamp="1646132960" guid="ec84ae5e-fbf7-41eb-8833-80f288a7929b"&gt;254&lt;/key&gt;&lt;/foreign-keys&gt;&lt;ref-type name="Journal Article"&gt;17&lt;/ref-type&gt;&lt;contributors&gt;&lt;/contributors&gt;&lt;titles&gt;&lt;title&gt;&amp;lt;1-book.pdf&amp;gt;&lt;/title&gt;&lt;/titles&gt;&lt;dates&gt;&lt;/dates&gt;&lt;urls&gt;&lt;/urls&gt;&lt;/record&gt;&lt;/Cite&gt;&lt;/EndNote&gt;</w:instrText>
      </w:r>
      <w:r w:rsidR="005A1703">
        <w:fldChar w:fldCharType="separate"/>
      </w:r>
      <w:r w:rsidR="005C77FE" w:rsidRPr="005C77FE">
        <w:rPr>
          <w:noProof/>
          <w:vertAlign w:val="superscript"/>
        </w:rPr>
        <w:t>1</w:t>
      </w:r>
      <w:r w:rsidR="005A1703">
        <w:fldChar w:fldCharType="end"/>
      </w:r>
      <w:r>
        <w:t xml:space="preserve">. We notice that the </w:t>
      </w:r>
      <w:r w:rsidRPr="00FA079F">
        <w:rPr>
          <w:i/>
          <w:iCs/>
        </w:rPr>
        <w:t>χ</w:t>
      </w:r>
      <w:r w:rsidRPr="00FA079F">
        <w:rPr>
          <w:i/>
          <w:iCs/>
          <w:vertAlign w:val="superscript"/>
        </w:rPr>
        <w:t>3</w:t>
      </w:r>
      <w:r w:rsidRPr="001075E7">
        <w:t xml:space="preserve"> </w:t>
      </w:r>
      <w:r>
        <w:t>values from Au films should not be used, as</w:t>
      </w:r>
      <w:r w:rsidRPr="001075E7">
        <w:t xml:space="preserve"> </w:t>
      </w:r>
      <w:r w:rsidRPr="000D71C6">
        <w:t>there</w:t>
      </w:r>
      <w:r>
        <w:t xml:space="preserve"> are significant differences between the bulk materials and the nanostructures. Referred from the literature</w:t>
      </w:r>
      <w:r w:rsidR="00CA775C">
        <w:t xml:space="preserve"> </w:t>
      </w:r>
      <w:r w:rsidR="002D38D1">
        <w:fldChar w:fldCharType="begin"/>
      </w:r>
      <w:r w:rsidR="005C77FE">
        <w:instrText xml:space="preserve"> ADDIN EN.CITE &lt;EndNote&gt;&lt;Cite&gt;&lt;Author&gt;Menezes&lt;/Author&gt;&lt;Year&gt;2019&lt;/Year&gt;&lt;RecNum&gt;117&lt;/RecNum&gt;&lt;DisplayText&gt;&lt;style face="superscript"&gt;3&lt;/style&gt;&lt;/DisplayText&gt;&lt;record&gt;&lt;rec-number&gt;117&lt;/rec-number&gt;&lt;foreign-keys&gt;&lt;key app="EN" db-id="dezfexv915dafwesxe75rp2f99trfvtsxdw5" timestamp="1643856256" guid="be3b4a10-1a94-4068-84bf-c8a13af04376"&gt;117&lt;/key&gt;&lt;/foreign-keys&gt;&lt;ref-type name="Journal Article"&gt;17&lt;/ref-type&gt;&lt;contributors&gt;&lt;authors&gt;&lt;author&gt;Menezes, Leonardo de S.&lt;/author&gt;&lt;author&gt;Acioli, Lúcio H.&lt;/author&gt;&lt;author&gt;Maldonado, Melissa&lt;/author&gt;&lt;author&gt;Naciri, Jawad&lt;/author&gt;&lt;author&gt;Charipar, Nicholas&lt;/author&gt;&lt;author&gt;Fontana, Jake&lt;/author&gt;&lt;author&gt;Rativa, Diego&lt;/author&gt;&lt;author&gt;de Araújo, Cid B.&lt;/author&gt;&lt;author&gt;Gomes, Anderson S. L.&lt;/author&gt;&lt;/authors&gt;&lt;/contributors&gt;&lt;titles&gt;&lt;title&gt;Large third-order nonlinear susceptibility from a gold metasurface far off the plasmonic resonance&lt;/title&gt;&lt;secondary-title&gt;Journal of the Optical Society of America B&lt;/secondary-title&gt;&lt;/titles&gt;&lt;periodical&gt;&lt;full-title&gt;Journal of the Optical Society of America B&lt;/full-title&gt;&lt;/periodical&gt;&lt;volume&gt;36&lt;/volume&gt;&lt;number&gt;6&lt;/number&gt;&lt;section&gt;1485&lt;/section&gt;&lt;dates&gt;&lt;year&gt;2019&lt;/year&gt;&lt;/dates&gt;&lt;isbn&gt;0740-3224&amp;#xD;1520-8540&lt;/isbn&gt;&lt;urls&gt;&lt;/urls&gt;&lt;electronic-resource-num&gt;10.1364/josab.36.001485&lt;/electronic-resource-num&gt;&lt;/record&gt;&lt;/Cite&gt;&lt;/EndNote&gt;</w:instrText>
      </w:r>
      <w:r w:rsidR="002D38D1">
        <w:fldChar w:fldCharType="separate"/>
      </w:r>
      <w:r w:rsidR="005C77FE" w:rsidRPr="005C77FE">
        <w:rPr>
          <w:noProof/>
          <w:vertAlign w:val="superscript"/>
        </w:rPr>
        <w:t>3</w:t>
      </w:r>
      <w:r w:rsidR="002D38D1">
        <w:fldChar w:fldCharType="end"/>
      </w:r>
      <w:r>
        <w:t xml:space="preserve">, the absolute value of </w:t>
      </w:r>
      <w:r w:rsidRPr="00F20BAC">
        <w:rPr>
          <w:i/>
          <w:iCs/>
        </w:rPr>
        <w:t>Reχ</w:t>
      </w:r>
      <w:r w:rsidRPr="00F20BAC">
        <w:rPr>
          <w:i/>
          <w:iCs/>
          <w:vertAlign w:val="superscript"/>
        </w:rPr>
        <w:t>3</w:t>
      </w:r>
      <w:r>
        <w:t xml:space="preserve"> of plasmonic nanostructures is in the orders of 10</w:t>
      </w:r>
      <w:r w:rsidRPr="00CA775C">
        <w:rPr>
          <w:vertAlign w:val="superscript"/>
        </w:rPr>
        <w:t>-10</w:t>
      </w:r>
      <w:r>
        <w:t>-10</w:t>
      </w:r>
      <w:r w:rsidRPr="00CA775C">
        <w:rPr>
          <w:vertAlign w:val="superscript"/>
        </w:rPr>
        <w:t>-12</w:t>
      </w:r>
      <w:r>
        <w:t xml:space="preserve"> cm</w:t>
      </w:r>
      <w:r w:rsidRPr="00CA775C">
        <w:rPr>
          <w:vertAlign w:val="superscript"/>
        </w:rPr>
        <w:t>2</w:t>
      </w:r>
      <w:r w:rsidR="00964C9B">
        <w:rPr>
          <w:vertAlign w:val="superscript"/>
        </w:rPr>
        <w:t xml:space="preserve"> </w:t>
      </w:r>
      <w:r>
        <w:t>V</w:t>
      </w:r>
      <w:r w:rsidRPr="00CA775C">
        <w:rPr>
          <w:vertAlign w:val="superscript"/>
        </w:rPr>
        <w:t xml:space="preserve">-2 </w:t>
      </w:r>
      <w:r>
        <w:t xml:space="preserve">and the absolute value of </w:t>
      </w:r>
      <w:r w:rsidRPr="00F20BAC">
        <w:rPr>
          <w:i/>
          <w:iCs/>
        </w:rPr>
        <w:t>Imχ</w:t>
      </w:r>
      <w:r w:rsidRPr="00F20BAC">
        <w:rPr>
          <w:i/>
          <w:iCs/>
          <w:vertAlign w:val="superscript"/>
        </w:rPr>
        <w:t>3</w:t>
      </w:r>
      <w:r w:rsidRPr="00F20BAC">
        <w:rPr>
          <w:i/>
          <w:iCs/>
        </w:rPr>
        <w:t xml:space="preserve"> </w:t>
      </w:r>
      <w:r>
        <w:t>is in the orders of 10</w:t>
      </w:r>
      <w:r w:rsidRPr="00CA775C">
        <w:rPr>
          <w:vertAlign w:val="superscript"/>
        </w:rPr>
        <w:t>-10</w:t>
      </w:r>
      <w:r>
        <w:t>-10</w:t>
      </w:r>
      <w:r w:rsidRPr="00CA775C">
        <w:rPr>
          <w:vertAlign w:val="superscript"/>
        </w:rPr>
        <w:t>-13</w:t>
      </w:r>
      <w:r>
        <w:t xml:space="preserve"> cm</w:t>
      </w:r>
      <w:r w:rsidRPr="00CA775C">
        <w:rPr>
          <w:vertAlign w:val="superscript"/>
        </w:rPr>
        <w:t>2</w:t>
      </w:r>
      <w:r w:rsidR="00964C9B">
        <w:rPr>
          <w:vertAlign w:val="superscript"/>
        </w:rPr>
        <w:t xml:space="preserve"> </w:t>
      </w:r>
      <w:r>
        <w:t>V</w:t>
      </w:r>
      <w:r w:rsidRPr="00CA775C">
        <w:rPr>
          <w:vertAlign w:val="superscript"/>
        </w:rPr>
        <w:t>-2</w:t>
      </w:r>
      <w:r>
        <w:t xml:space="preserve">, which strongly depend on the excitation wavelength and the polarization. For instance, the absolute values of </w:t>
      </w:r>
      <w:r w:rsidRPr="008011A4">
        <w:rPr>
          <w:i/>
          <w:iCs/>
        </w:rPr>
        <w:t>Reχ</w:t>
      </w:r>
      <w:r w:rsidRPr="008011A4">
        <w:rPr>
          <w:i/>
          <w:iCs/>
          <w:vertAlign w:val="superscript"/>
        </w:rPr>
        <w:t>3</w:t>
      </w:r>
      <w:r>
        <w:t xml:space="preserve"> and </w:t>
      </w:r>
      <w:r w:rsidRPr="008011A4">
        <w:rPr>
          <w:i/>
          <w:iCs/>
        </w:rPr>
        <w:t>Imχ</w:t>
      </w:r>
      <w:r w:rsidRPr="008011A4">
        <w:rPr>
          <w:i/>
          <w:iCs/>
          <w:vertAlign w:val="superscript"/>
        </w:rPr>
        <w:t>3</w:t>
      </w:r>
      <w:r>
        <w:t xml:space="preserve"> are almost two orders smaller for the off-resonance situation compared with the plasmon-resonant excitation wavelength</w:t>
      </w:r>
      <w:r w:rsidR="00CA775C">
        <w:t xml:space="preserve"> </w:t>
      </w:r>
      <w:r w:rsidR="0079329E">
        <w:fldChar w:fldCharType="begin"/>
      </w:r>
      <w:r w:rsidR="005C77FE">
        <w:instrText xml:space="preserve"> ADDIN EN.CITE &lt;EndNote&gt;&lt;Cite&gt;&lt;Author&gt;Menezes&lt;/Author&gt;&lt;Year&gt;2019&lt;/Year&gt;&lt;RecNum&gt;117&lt;/RecNum&gt;&lt;DisplayText&gt;&lt;style face="superscript"&gt;3&lt;/style&gt;&lt;/DisplayText&gt;&lt;record&gt;&lt;rec-number&gt;117&lt;/rec-number&gt;&lt;foreign-keys&gt;&lt;key app="EN" db-id="dezfexv915dafwesxe75rp2f99trfvtsxdw5" timestamp="1643856256" guid="be3b4a10-1a94-4068-84bf-c8a13af04376"&gt;117&lt;/key&gt;&lt;/foreign-keys&gt;&lt;ref-type name="Journal Article"&gt;17&lt;/ref-type&gt;&lt;contributors&gt;&lt;authors&gt;&lt;author&gt;Menezes, Leonardo de S.&lt;/author&gt;&lt;author&gt;Acioli, Lúcio H.&lt;/author&gt;&lt;author&gt;Maldonado, Melissa&lt;/author&gt;&lt;author&gt;Naciri, Jawad&lt;/author&gt;&lt;author&gt;Charipar, Nicholas&lt;/author&gt;&lt;author&gt;Fontana, Jake&lt;/author&gt;&lt;author&gt;Rativa, Diego&lt;/author&gt;&lt;author&gt;de Araújo, Cid B.&lt;/author&gt;&lt;author&gt;Gomes, Anderson S. L.&lt;/author&gt;&lt;/authors&gt;&lt;/contributors&gt;&lt;titles&gt;&lt;title&gt;Large third-order nonlinear susceptibility from a gold metasurface far off the plasmonic resonance&lt;/title&gt;&lt;secondary-title&gt;Journal of the Optical Society of America B&lt;/secondary-title&gt;&lt;/titles&gt;&lt;periodical&gt;&lt;full-title&gt;Journal of the Optical Society of America B&lt;/full-title&gt;&lt;/periodical&gt;&lt;volume&gt;36&lt;/volume&gt;&lt;number&gt;6&lt;/number&gt;&lt;section&gt;1485&lt;/section&gt;&lt;dates&gt;&lt;year&gt;2019&lt;/year&gt;&lt;/dates&gt;&lt;isbn&gt;0740-3224&amp;#xD;1520-8540&lt;/isbn&gt;&lt;urls&gt;&lt;/urls&gt;&lt;electronic-resource-num&gt;10.1364/josab.36.001485&lt;/electronic-resource-num&gt;&lt;/record&gt;&lt;/Cite&gt;&lt;/EndNote&gt;</w:instrText>
      </w:r>
      <w:r w:rsidR="0079329E">
        <w:fldChar w:fldCharType="separate"/>
      </w:r>
      <w:r w:rsidR="005C77FE" w:rsidRPr="005C77FE">
        <w:rPr>
          <w:noProof/>
          <w:vertAlign w:val="superscript"/>
        </w:rPr>
        <w:t>3</w:t>
      </w:r>
      <w:r w:rsidR="0079329E">
        <w:fldChar w:fldCharType="end"/>
      </w:r>
      <w:r>
        <w:t xml:space="preserve">. In the following calculations, initial values of </w:t>
      </w:r>
      <w:r w:rsidRPr="004B6F87">
        <w:rPr>
          <w:i/>
          <w:iCs/>
        </w:rPr>
        <w:t>Reχ</w:t>
      </w:r>
      <w:r w:rsidRPr="004B6F87">
        <w:rPr>
          <w:i/>
          <w:iCs/>
          <w:vertAlign w:val="superscript"/>
        </w:rPr>
        <w:t>3</w:t>
      </w:r>
      <w:r w:rsidRPr="001075E7">
        <w:t xml:space="preserve"> </w:t>
      </w:r>
      <w:r w:rsidRPr="000D71C6">
        <w:t>and</w:t>
      </w:r>
      <w:r w:rsidRPr="004B6F87">
        <w:rPr>
          <w:i/>
          <w:iCs/>
        </w:rPr>
        <w:t xml:space="preserve"> Imχ</w:t>
      </w:r>
      <w:r w:rsidRPr="004B6F87">
        <w:rPr>
          <w:i/>
          <w:iCs/>
          <w:vertAlign w:val="superscript"/>
        </w:rPr>
        <w:t>3</w:t>
      </w:r>
      <w:r w:rsidRPr="001075E7">
        <w:t xml:space="preserve"> </w:t>
      </w:r>
      <w:r w:rsidRPr="000D71C6">
        <w:t xml:space="preserve">are </w:t>
      </w:r>
      <w:r>
        <w:t>respectively</w:t>
      </w:r>
      <w:r w:rsidRPr="000D71C6">
        <w:t xml:space="preserve"> set </w:t>
      </w:r>
      <w:r>
        <w:t>similarly to those</w:t>
      </w:r>
      <w:r w:rsidR="00CA775C">
        <w:t xml:space="preserve"> </w:t>
      </w:r>
      <w:r w:rsidR="0029412B">
        <w:fldChar w:fldCharType="begin"/>
      </w:r>
      <w:r w:rsidR="005C77FE">
        <w:instrText xml:space="preserve"> ADDIN EN.CITE &lt;EndNote&gt;&lt;Cite&gt;&lt;Author&gt;Menezes&lt;/Author&gt;&lt;Year&gt;2019&lt;/Year&gt;&lt;RecNum&gt;117&lt;/RecNum&gt;&lt;DisplayText&gt;&lt;style face="superscript"&gt;3&lt;/style&gt;&lt;/DisplayText&gt;&lt;record&gt;&lt;rec-number&gt;117&lt;/rec-number&gt;&lt;foreign-keys&gt;&lt;key app="EN" db-id="dezfexv915dafwesxe75rp2f99trfvtsxdw5" timestamp="1643856256" guid="be3b4a10-1a94-4068-84bf-c8a13af04376"&gt;117&lt;/key&gt;&lt;/foreign-keys&gt;&lt;ref-type name="Journal Article"&gt;17&lt;/ref-type&gt;&lt;contributors&gt;&lt;authors&gt;&lt;author&gt;Menezes, Leonardo de S.&lt;/author&gt;&lt;author&gt;Acioli, Lúcio H.&lt;/author&gt;&lt;author&gt;Maldonado, Melissa&lt;/author&gt;&lt;author&gt;Naciri, Jawad&lt;/author&gt;&lt;author&gt;Charipar, Nicholas&lt;/author&gt;&lt;author&gt;Fontana, Jake&lt;/author&gt;&lt;author&gt;Rativa, Diego&lt;/author&gt;&lt;author&gt;de Araújo, Cid B.&lt;/author&gt;&lt;author&gt;Gomes, Anderson S. L.&lt;/author&gt;&lt;/authors&gt;&lt;/contributors&gt;&lt;titles&gt;&lt;title&gt;Large third-order nonlinear susceptibility from a gold metasurface far off the plasmonic resonance&lt;/title&gt;&lt;secondary-title&gt;Journal of the Optical Society of America B&lt;/secondary-title&gt;&lt;/titles&gt;&lt;periodical&gt;&lt;full-title&gt;Journal of the Optical Society of America B&lt;/full-title&gt;&lt;/periodical&gt;&lt;volume&gt;36&lt;/volume&gt;&lt;number&gt;6&lt;/number&gt;&lt;section&gt;1485&lt;/section&gt;&lt;dates&gt;&lt;year&gt;2019&lt;/year&gt;&lt;/dates&gt;&lt;isbn&gt;0740-3224&amp;#xD;1520-8540&lt;/isbn&gt;&lt;urls&gt;&lt;/urls&gt;&lt;electronic-resource-num&gt;10.1364/josab.36.001485&lt;/electronic-resource-num&gt;&lt;/record&gt;&lt;/Cite&gt;&lt;/EndNote&gt;</w:instrText>
      </w:r>
      <w:r w:rsidR="0029412B">
        <w:fldChar w:fldCharType="separate"/>
      </w:r>
      <w:r w:rsidR="005C77FE" w:rsidRPr="005C77FE">
        <w:rPr>
          <w:noProof/>
          <w:vertAlign w:val="superscript"/>
        </w:rPr>
        <w:t>3</w:t>
      </w:r>
      <w:r w:rsidR="0029412B">
        <w:fldChar w:fldCharType="end"/>
      </w:r>
      <w:r>
        <w:t>: -3×10</w:t>
      </w:r>
      <w:r w:rsidRPr="00CA775C">
        <w:rPr>
          <w:vertAlign w:val="superscript"/>
        </w:rPr>
        <w:t>-11</w:t>
      </w:r>
      <w:r w:rsidRPr="00503C1A">
        <w:t xml:space="preserve"> </w:t>
      </w:r>
      <w:r>
        <w:t>cm</w:t>
      </w:r>
      <w:r w:rsidRPr="00CA775C">
        <w:rPr>
          <w:vertAlign w:val="superscript"/>
        </w:rPr>
        <w:t>2</w:t>
      </w:r>
      <w:r w:rsidR="00964C9B">
        <w:rPr>
          <w:vertAlign w:val="superscript"/>
        </w:rPr>
        <w:t xml:space="preserve"> </w:t>
      </w:r>
      <w:r>
        <w:t>V</w:t>
      </w:r>
      <w:r w:rsidRPr="00CA775C">
        <w:rPr>
          <w:vertAlign w:val="superscript"/>
        </w:rPr>
        <w:t>-2</w:t>
      </w:r>
      <w:r>
        <w:t xml:space="preserve"> and 9.5×10</w:t>
      </w:r>
      <w:r w:rsidRPr="00CA775C">
        <w:rPr>
          <w:vertAlign w:val="superscript"/>
        </w:rPr>
        <w:t>-13</w:t>
      </w:r>
      <w:r>
        <w:t xml:space="preserve"> cm</w:t>
      </w:r>
      <w:r w:rsidRPr="00CA775C">
        <w:rPr>
          <w:vertAlign w:val="superscript"/>
        </w:rPr>
        <w:t>2</w:t>
      </w:r>
      <w:r w:rsidR="00964C9B">
        <w:rPr>
          <w:vertAlign w:val="superscript"/>
        </w:rPr>
        <w:t xml:space="preserve"> </w:t>
      </w:r>
      <w:r>
        <w:t>V</w:t>
      </w:r>
      <w:r w:rsidRPr="00CA775C">
        <w:rPr>
          <w:vertAlign w:val="superscript"/>
        </w:rPr>
        <w:t>-2</w:t>
      </w:r>
      <w:r>
        <w:t xml:space="preserve"> and later we will test how significant the </w:t>
      </w:r>
      <w:r w:rsidRPr="000C5E99">
        <w:rPr>
          <w:i/>
          <w:iCs/>
        </w:rPr>
        <w:t>χ</w:t>
      </w:r>
      <w:r w:rsidRPr="000C5E99">
        <w:rPr>
          <w:i/>
          <w:iCs/>
          <w:vertAlign w:val="superscript"/>
        </w:rPr>
        <w:t>3</w:t>
      </w:r>
      <w:r w:rsidRPr="001075E7">
        <w:t xml:space="preserve"> </w:t>
      </w:r>
      <w:r>
        <w:t>values influent our results. The transmission spectra in each input power are obtained by sweeping the optical wavelength from 1300 nm to 1700 nm, as it is shown in Fig. 6(d) in the main text. The transmission dip positions are extracted from the spectra and plotted in Fig. S</w:t>
      </w:r>
      <w:r w:rsidR="008904A5">
        <w:t>10</w:t>
      </w:r>
      <w:r>
        <w:t xml:space="preserve">(b) as a function of averaged input power. The dip position shows an obvious blue shift as the input power increases, e. g. the dip position is shifted to 1457 nm from initial 1550 nm when the input power increases from 0.25 μW to </w:t>
      </w:r>
      <w:r w:rsidRPr="006B1A30">
        <w:t>2 mW</w:t>
      </w:r>
      <w:r>
        <w:t xml:space="preserve">. </w:t>
      </w:r>
    </w:p>
    <w:p w14:paraId="2F22F03D" w14:textId="123655BE" w:rsidR="00474C0F" w:rsidRDefault="00474C0F" w:rsidP="00FE6912">
      <w:pPr>
        <w:pStyle w:val="09BodyFirstParagraph"/>
        <w:spacing w:before="0"/>
        <w:ind w:firstLineChars="200" w:firstLine="400"/>
      </w:pPr>
      <w:r>
        <w:t>Focusing on the optical wavelength of 1550 nm, we calculate the power- and polarization-dependent transmission for the nanorod array as well. As shown in Fig. S</w:t>
      </w:r>
      <w:r w:rsidR="008904A5">
        <w:t>10</w:t>
      </w:r>
      <w:r>
        <w:t xml:space="preserve">(c), for each polarization angle </w:t>
      </w:r>
      <w:r w:rsidRPr="00CA775C">
        <w:rPr>
          <w:i/>
          <w:iCs/>
        </w:rPr>
        <w:t>θ</w:t>
      </w:r>
      <w:r>
        <w:t>, the transmission level shows a ‘S’</w:t>
      </w:r>
      <w:r w:rsidRPr="00FC6A0E">
        <w:t>-shape profile</w:t>
      </w:r>
      <w:r>
        <w:t xml:space="preserve">, which agrees with the experimental results shown in Fig. 6(b) in the main text. When </w:t>
      </w:r>
      <w:r w:rsidRPr="00CA775C">
        <w:rPr>
          <w:i/>
          <w:iCs/>
        </w:rPr>
        <w:t xml:space="preserve">θ </w:t>
      </w:r>
      <w:r>
        <w:t>changes</w:t>
      </w:r>
      <w:r w:rsidRPr="00D92768">
        <w:t xml:space="preserve"> from 0° </w:t>
      </w:r>
      <w:r>
        <w:t>to</w:t>
      </w:r>
      <w:r w:rsidRPr="00D92768">
        <w:t xml:space="preserve"> </w:t>
      </w:r>
      <w:r>
        <w:t>45</w:t>
      </w:r>
      <w:r w:rsidRPr="00D92768">
        <w:t>°</w:t>
      </w:r>
      <w:r>
        <w:t xml:space="preserve"> </w:t>
      </w:r>
      <w:r w:rsidRPr="00D92768">
        <w:t>with respect to the long</w:t>
      </w:r>
      <w:r>
        <w:t xml:space="preserve"> </w:t>
      </w:r>
      <w:r w:rsidRPr="00D92768">
        <w:t xml:space="preserve">axis of the </w:t>
      </w:r>
      <w:r>
        <w:t xml:space="preserve">nanorods, the transmission level in the low power regime (1-LA stage) increases due to a reduce of linear absorption of nanorod array. The modulation depth decreases as the </w:t>
      </w:r>
      <w:r w:rsidRPr="00CA775C">
        <w:rPr>
          <w:i/>
          <w:iCs/>
        </w:rPr>
        <w:t>θ</w:t>
      </w:r>
      <w:r>
        <w:t xml:space="preserve"> increases</w:t>
      </w:r>
      <w:r w:rsidRPr="00D92768">
        <w:t xml:space="preserve"> from 0° </w:t>
      </w:r>
      <w:r>
        <w:t>to</w:t>
      </w:r>
      <w:r w:rsidRPr="00D92768">
        <w:t xml:space="preserve"> </w:t>
      </w:r>
      <w:r>
        <w:t>45</w:t>
      </w:r>
      <w:r w:rsidRPr="00D92768">
        <w:t>°</w:t>
      </w:r>
      <w:r>
        <w:t xml:space="preserve">, which generally agrees with the results shown in Fig. 2(d) in the main text. </w:t>
      </w:r>
    </w:p>
    <w:p w14:paraId="104E4A7A" w14:textId="3482049D" w:rsidR="00CA775C" w:rsidRDefault="00474C0F" w:rsidP="00FE6912">
      <w:pPr>
        <w:pStyle w:val="09BodyFirstParagraph"/>
        <w:spacing w:before="0"/>
        <w:ind w:firstLineChars="200" w:firstLine="400"/>
      </w:pPr>
      <w:r>
        <w:t xml:space="preserve">However, we also observe that the maximum modulation depth in this model is less than 10%, which is much smaller than the experimental results shown in Fig. 2(d) and Fig. 6(b) in the main text. One of potential reasons could be that the </w:t>
      </w:r>
      <w:r w:rsidRPr="000859E1">
        <w:rPr>
          <w:i/>
          <w:iCs/>
        </w:rPr>
        <w:t>χ</w:t>
      </w:r>
      <w:r w:rsidRPr="000859E1">
        <w:rPr>
          <w:i/>
          <w:iCs/>
          <w:vertAlign w:val="superscript"/>
        </w:rPr>
        <w:t>3</w:t>
      </w:r>
      <w:r w:rsidRPr="000859E1">
        <w:rPr>
          <w:i/>
          <w:iCs/>
        </w:rPr>
        <w:t xml:space="preserve"> </w:t>
      </w:r>
      <w:r>
        <w:t>values of plasmonic metasurfaces are power dependent, rather than constants. Fig. S</w:t>
      </w:r>
      <w:r w:rsidR="008904A5">
        <w:t>10</w:t>
      </w:r>
      <w:r>
        <w:t>(d) shows an example how the</w:t>
      </w:r>
      <w:r w:rsidRPr="000859E1">
        <w:rPr>
          <w:i/>
          <w:iCs/>
        </w:rPr>
        <w:t xml:space="preserve"> χ</w:t>
      </w:r>
      <w:r w:rsidRPr="000859E1">
        <w:rPr>
          <w:i/>
          <w:iCs/>
          <w:vertAlign w:val="superscript"/>
        </w:rPr>
        <w:t>3</w:t>
      </w:r>
      <w:r w:rsidRPr="001075E7">
        <w:t xml:space="preserve"> </w:t>
      </w:r>
      <w:r>
        <w:t xml:space="preserve">values influence the transmission level of the nanorod array in the lower input power regime (0-0.9 mW). As the absolute value of </w:t>
      </w:r>
      <w:r w:rsidRPr="000859E1">
        <w:rPr>
          <w:i/>
          <w:iCs/>
        </w:rPr>
        <w:t>Reχ</w:t>
      </w:r>
      <w:r w:rsidRPr="000859E1">
        <w:rPr>
          <w:i/>
          <w:iCs/>
          <w:vertAlign w:val="superscript"/>
        </w:rPr>
        <w:t>3</w:t>
      </w:r>
      <w:r w:rsidRPr="001075E7">
        <w:t xml:space="preserve"> </w:t>
      </w:r>
      <w:r>
        <w:t xml:space="preserve">increases, the transmission at the same input power increases. Following the similar tendency, the transmission in the nonlinear absorption (2-NA) </w:t>
      </w:r>
      <w:r>
        <w:lastRenderedPageBreak/>
        <w:t xml:space="preserve">and saturated absorption (3-SA) stages should reach higher levels as well, resulting in a larger modulation depth in the end. Thus, to better interpret the experimental results, the absolute values of </w:t>
      </w:r>
      <w:r w:rsidRPr="009F0340">
        <w:rPr>
          <w:i/>
          <w:iCs/>
        </w:rPr>
        <w:t>Reχ</w:t>
      </w:r>
      <w:r w:rsidRPr="009F0340">
        <w:rPr>
          <w:i/>
          <w:iCs/>
          <w:vertAlign w:val="superscript"/>
        </w:rPr>
        <w:t>3</w:t>
      </w:r>
      <w:r w:rsidRPr="001075E7">
        <w:t xml:space="preserve"> </w:t>
      </w:r>
      <w:r>
        <w:t xml:space="preserve">should first increase with the input laser power and finally approach a constant. Considering the tight connections between the absorption coefficients and </w:t>
      </w:r>
      <w:r w:rsidRPr="009F0340">
        <w:rPr>
          <w:i/>
          <w:iCs/>
        </w:rPr>
        <w:t>χ</w:t>
      </w:r>
      <w:r w:rsidRPr="009F0340">
        <w:rPr>
          <w:i/>
          <w:iCs/>
          <w:vertAlign w:val="superscript"/>
        </w:rPr>
        <w:t>3</w:t>
      </w:r>
      <w:r w:rsidRPr="001075E7">
        <w:t xml:space="preserve"> </w:t>
      </w:r>
      <w:r>
        <w:t>of plasmonic nanoparticles</w:t>
      </w:r>
      <w:r w:rsidR="00CA775C">
        <w:t xml:space="preserve"> </w:t>
      </w:r>
      <w:r w:rsidR="0023587A">
        <w:fldChar w:fldCharType="begin"/>
      </w:r>
      <w:r w:rsidR="005C77FE">
        <w:instrText xml:space="preserve"> ADDIN EN.CITE &lt;EndNote&gt;&lt;Cite&gt;&lt;Author&gt;Hache&lt;/Author&gt;&lt;Year&gt;1988&lt;/Year&gt;&lt;RecNum&gt;259&lt;/RecNum&gt;&lt;DisplayText&gt;&lt;style face="superscript"&gt;8&lt;/style&gt;&lt;/DisplayText&gt;&lt;record&gt;&lt;rec-number&gt;259&lt;/rec-number&gt;&lt;foreign-keys&gt;&lt;key app="EN" db-id="dezfexv915dafwesxe75rp2f99trfvtsxdw5" timestamp="1646132976" guid="58f717c3-32ec-4c2e-9413-128f20477045"&gt;259&lt;/key&gt;&lt;/foreign-keys&gt;&lt;ref-type name="Journal Article"&gt;17&lt;/ref-type&gt;&lt;contributors&gt;&lt;authors&gt;&lt;author&gt;Hache, F.&lt;/author&gt;&lt;author&gt;Ricard, D.&lt;/author&gt;&lt;author&gt;Flytzanis, C.&lt;/author&gt;&lt;author&gt;Kreibig, U.&lt;/author&gt;&lt;/authors&gt;&lt;/contributors&gt;&lt;titles&gt;&lt;title&gt;The optical kerr effect in small metal particles and metal colloids: The case of gold&lt;/title&gt;&lt;secondary-title&gt;Applied Physics A: Solids and Surface&lt;/secondary-title&gt;&lt;/titles&gt;&lt;periodical&gt;&lt;full-title&gt;Applied Physics A: Solids and Surface&lt;/full-title&gt;&lt;/periodical&gt;&lt;pages&gt;347-357&lt;/pages&gt;&lt;volume&gt;47&lt;/volume&gt;&lt;number&gt;4&lt;/number&gt;&lt;section&gt;347&lt;/section&gt;&lt;dates&gt;&lt;year&gt;1988&lt;/year&gt;&lt;/dates&gt;&lt;isbn&gt;0721-7250&amp;#xD;1432-0630&lt;/isbn&gt;&lt;urls&gt;&lt;/urls&gt;&lt;electronic-resource-num&gt;10.1007/bf00615498&lt;/electronic-resource-num&gt;&lt;/record&gt;&lt;/Cite&gt;&lt;/EndNote&gt;</w:instrText>
      </w:r>
      <w:r w:rsidR="0023587A">
        <w:fldChar w:fldCharType="separate"/>
      </w:r>
      <w:r w:rsidR="005C77FE" w:rsidRPr="005C77FE">
        <w:rPr>
          <w:noProof/>
          <w:vertAlign w:val="superscript"/>
        </w:rPr>
        <w:t>8</w:t>
      </w:r>
      <w:r w:rsidR="0023587A">
        <w:fldChar w:fldCharType="end"/>
      </w:r>
      <w:r>
        <w:t xml:space="preserve">, the </w:t>
      </w:r>
      <w:r w:rsidRPr="00F72D24">
        <w:rPr>
          <w:i/>
          <w:iCs/>
        </w:rPr>
        <w:t>Reχ</w:t>
      </w:r>
      <w:r w:rsidRPr="00F72D24">
        <w:rPr>
          <w:i/>
          <w:iCs/>
          <w:vertAlign w:val="superscript"/>
        </w:rPr>
        <w:t>3</w:t>
      </w:r>
      <w:r w:rsidRPr="001075E7">
        <w:t xml:space="preserve"> </w:t>
      </w:r>
      <w:r>
        <w:t>should follow a similar ‘S’-shaped profile defined in (S4) or (S5).  These assumptions need further in-depth theoretical and experimental demonstrations, taking the contributions from the intraband transitions, interband transitions and the hot electrons into account</w:t>
      </w:r>
      <w:r w:rsidR="00CA775C">
        <w:t xml:space="preserve"> </w:t>
      </w:r>
      <w:r w:rsidR="0023587A">
        <w:fldChar w:fldCharType="begin"/>
      </w:r>
      <w:r w:rsidR="005C77FE">
        <w:instrText xml:space="preserve"> ADDIN EN.CITE &lt;EndNote&gt;&lt;Cite&gt;&lt;Author&gt;Hache&lt;/Author&gt;&lt;Year&gt;1988&lt;/Year&gt;&lt;RecNum&gt;259&lt;/RecNum&gt;&lt;DisplayText&gt;&lt;style face="superscript"&gt;8&lt;/style&gt;&lt;/DisplayText&gt;&lt;record&gt;&lt;rec-number&gt;259&lt;/rec-number&gt;&lt;foreign-keys&gt;&lt;key app="EN" db-id="dezfexv915dafwesxe75rp2f99trfvtsxdw5" timestamp="1646132976" guid="58f717c3-32ec-4c2e-9413-128f20477045"&gt;259&lt;/key&gt;&lt;/foreign-keys&gt;&lt;ref-type name="Journal Article"&gt;17&lt;/ref-type&gt;&lt;contributors&gt;&lt;authors&gt;&lt;author&gt;Hache, F.&lt;/author&gt;&lt;author&gt;Ricard, D.&lt;/author&gt;&lt;author&gt;Flytzanis, C.&lt;/author&gt;&lt;author&gt;Kreibig, U.&lt;/author&gt;&lt;/authors&gt;&lt;/contributors&gt;&lt;titles&gt;&lt;title&gt;The optical kerr effect in small metal particles and metal colloids: The case of gold&lt;/title&gt;&lt;secondary-title&gt;Applied Physics A: Solids and Surface&lt;/secondary-title&gt;&lt;/titles&gt;&lt;periodical&gt;&lt;full-title&gt;Applied Physics A: Solids and Surface&lt;/full-title&gt;&lt;/periodical&gt;&lt;pages&gt;347-357&lt;/pages&gt;&lt;volume&gt;47&lt;/volume&gt;&lt;number&gt;4&lt;/number&gt;&lt;section&gt;347&lt;/section&gt;&lt;dates&gt;&lt;year&gt;1988&lt;/year&gt;&lt;/dates&gt;&lt;isbn&gt;0721-7250&amp;#xD;1432-0630&lt;/isbn&gt;&lt;urls&gt;&lt;/urls&gt;&lt;electronic-resource-num&gt;10.1007/bf00615498&lt;/electronic-resource-num&gt;&lt;/record&gt;&lt;/Cite&gt;&lt;/EndNote&gt;</w:instrText>
      </w:r>
      <w:r w:rsidR="0023587A">
        <w:fldChar w:fldCharType="separate"/>
      </w:r>
      <w:r w:rsidR="005C77FE" w:rsidRPr="005C77FE">
        <w:rPr>
          <w:noProof/>
          <w:vertAlign w:val="superscript"/>
        </w:rPr>
        <w:t>8</w:t>
      </w:r>
      <w:r w:rsidR="0023587A">
        <w:fldChar w:fldCharType="end"/>
      </w:r>
      <w:r>
        <w:t xml:space="preserve">, which is, however, </w:t>
      </w:r>
      <w:r w:rsidRPr="00FC3249">
        <w:t xml:space="preserve">far beyond the scope of this </w:t>
      </w:r>
      <w:r>
        <w:t>work.</w:t>
      </w:r>
      <w:r w:rsidR="00CA775C">
        <w:t xml:space="preserve"> </w:t>
      </w:r>
    </w:p>
    <w:p w14:paraId="010D1EC2" w14:textId="690BDF1D" w:rsidR="0046600E" w:rsidRPr="00336EB6" w:rsidRDefault="00C1651A" w:rsidP="00336EB6">
      <w:pPr>
        <w:pStyle w:val="23ReferenceSectionHeader"/>
      </w:pPr>
      <w:r w:rsidRPr="00C1651A">
        <w:t>References</w:t>
      </w:r>
    </w:p>
    <w:p w14:paraId="4497E39E" w14:textId="427BB2D6" w:rsidR="005C77FE" w:rsidRPr="0011068D" w:rsidRDefault="0046600E" w:rsidP="0011068D">
      <w:pPr>
        <w:pStyle w:val="EndNoteBibliography"/>
        <w:ind w:left="720" w:hanging="720"/>
        <w:jc w:val="both"/>
        <w:rPr>
          <w:rFonts w:ascii="等线" w:eastAsia="等线" w:hAnsi="等线" w:cstheme="minorBidi"/>
          <w:kern w:val="2"/>
          <w:szCs w:val="16"/>
          <w:lang w:eastAsia="zh-CN"/>
        </w:rPr>
      </w:pPr>
      <w:r>
        <w:fldChar w:fldCharType="begin"/>
      </w:r>
      <w:r>
        <w:instrText xml:space="preserve"> ADDIN EN.REFLIST </w:instrText>
      </w:r>
      <w:r>
        <w:fldChar w:fldCharType="separate"/>
      </w:r>
    </w:p>
    <w:p w14:paraId="5AD83422" w14:textId="42BA2F1A" w:rsidR="005C77FE" w:rsidRPr="0011068D" w:rsidRDefault="0046600E" w:rsidP="0011068D">
      <w:pPr>
        <w:pStyle w:val="EndNoteBibliography"/>
        <w:ind w:left="720" w:hanging="720"/>
        <w:jc w:val="both"/>
        <w:rPr>
          <w:rFonts w:ascii="Times New Roman" w:hAnsi="Times New Roman" w:cs="Times New Roman"/>
          <w:sz w:val="20"/>
        </w:rPr>
      </w:pPr>
      <w:r>
        <w:rPr>
          <w:rFonts w:ascii="Times New Roman" w:hAnsi="Times New Roman"/>
          <w:sz w:val="20"/>
        </w:rPr>
        <w:fldChar w:fldCharType="end"/>
      </w:r>
      <w:r w:rsidR="005C77FE" w:rsidRPr="0011068D">
        <w:rPr>
          <w:rFonts w:ascii="Times New Roman" w:hAnsi="Times New Roman" w:cs="Times New Roman"/>
          <w:sz w:val="20"/>
        </w:rPr>
        <w:fldChar w:fldCharType="begin"/>
      </w:r>
      <w:r w:rsidR="005C77FE" w:rsidRPr="0011068D">
        <w:rPr>
          <w:rFonts w:ascii="Times New Roman" w:hAnsi="Times New Roman" w:cs="Times New Roman"/>
          <w:sz w:val="20"/>
        </w:rPr>
        <w:instrText xml:space="preserve"> ADDIN EN.REFLIST </w:instrText>
      </w:r>
      <w:r w:rsidR="005C77FE" w:rsidRPr="0011068D">
        <w:rPr>
          <w:rFonts w:ascii="Times New Roman" w:hAnsi="Times New Roman" w:cs="Times New Roman"/>
          <w:sz w:val="20"/>
        </w:rPr>
        <w:fldChar w:fldCharType="separate"/>
      </w:r>
      <w:r w:rsidR="005C77FE" w:rsidRPr="0011068D">
        <w:rPr>
          <w:rFonts w:ascii="Times New Roman" w:hAnsi="Times New Roman" w:cs="Times New Roman"/>
          <w:sz w:val="20"/>
        </w:rPr>
        <w:t>1.</w:t>
      </w:r>
      <w:r w:rsidR="005C77FE" w:rsidRPr="0011068D">
        <w:rPr>
          <w:rFonts w:ascii="Times New Roman" w:hAnsi="Times New Roman" w:cs="Times New Roman"/>
          <w:sz w:val="20"/>
        </w:rPr>
        <w:tab/>
      </w:r>
      <w:r w:rsidR="005C77FE" w:rsidRPr="0011068D">
        <w:rPr>
          <w:rFonts w:ascii="Times New Roman" w:hAnsi="Times New Roman" w:cs="Times New Roman"/>
          <w:sz w:val="20"/>
          <w:lang w:eastAsia="zh-CN"/>
        </w:rPr>
        <w:t>H</w:t>
      </w:r>
      <w:r w:rsidR="005C77FE" w:rsidRPr="0011068D">
        <w:rPr>
          <w:rFonts w:ascii="Times New Roman" w:hAnsi="Times New Roman" w:cs="Times New Roman"/>
          <w:sz w:val="20"/>
        </w:rPr>
        <w:t xml:space="preserve">. R. </w:t>
      </w:r>
      <w:r w:rsidR="005C77FE" w:rsidRPr="0011068D">
        <w:rPr>
          <w:rFonts w:ascii="Times New Roman" w:hAnsi="Times New Roman" w:cs="Times New Roman"/>
          <w:sz w:val="20"/>
          <w:lang w:eastAsia="zh-CN"/>
        </w:rPr>
        <w:t xml:space="preserve">Philip, </w:t>
      </w:r>
      <w:r w:rsidR="005C77FE" w:rsidRPr="0011068D">
        <w:rPr>
          <w:rFonts w:ascii="Times New Roman" w:hAnsi="Times New Roman" w:cs="Times New Roman"/>
          <w:i/>
          <w:iCs/>
          <w:sz w:val="20"/>
          <w:lang w:eastAsia="zh-CN"/>
        </w:rPr>
        <w:t>Handbook of Optical Constants of Solids</w:t>
      </w:r>
      <w:r w:rsidR="005C77FE" w:rsidRPr="0011068D">
        <w:rPr>
          <w:rFonts w:ascii="Times New Roman" w:hAnsi="Times New Roman" w:cs="Times New Roman"/>
          <w:sz w:val="20"/>
          <w:lang w:eastAsia="zh-CN"/>
        </w:rPr>
        <w:t>. Acedemic press, New York, 1998.</w:t>
      </w:r>
    </w:p>
    <w:p w14:paraId="5B7B6703" w14:textId="5DCB6FC2" w:rsidR="005C77FE" w:rsidRPr="007252A5" w:rsidRDefault="005C77FE" w:rsidP="0011068D">
      <w:pPr>
        <w:pStyle w:val="EndNoteBibliography"/>
        <w:ind w:left="720" w:hanging="720"/>
        <w:jc w:val="both"/>
        <w:rPr>
          <w:rFonts w:ascii="Times New Roman" w:hAnsi="Times New Roman" w:cs="Times New Roman"/>
          <w:sz w:val="20"/>
          <w:lang w:val="fr-FR"/>
        </w:rPr>
      </w:pPr>
      <w:r w:rsidRPr="0011068D">
        <w:rPr>
          <w:rFonts w:ascii="Times New Roman" w:hAnsi="Times New Roman" w:cs="Times New Roman"/>
          <w:sz w:val="20"/>
        </w:rPr>
        <w:t>2.</w:t>
      </w:r>
      <w:r w:rsidRPr="0011068D">
        <w:rPr>
          <w:rFonts w:ascii="Times New Roman" w:hAnsi="Times New Roman" w:cs="Times New Roman"/>
          <w:sz w:val="20"/>
        </w:rPr>
        <w:tab/>
        <w:t xml:space="preserve">Fan, S., Suh, W. &amp; Joannopoulos, J.D. Temporal coupled-mode theory for the Fano resonance in optical resonators. </w:t>
      </w:r>
      <w:r w:rsidRPr="007252A5">
        <w:rPr>
          <w:rFonts w:ascii="Times New Roman" w:hAnsi="Times New Roman" w:cs="Times New Roman"/>
          <w:i/>
          <w:sz w:val="20"/>
          <w:lang w:val="fr-FR"/>
        </w:rPr>
        <w:t>J. Opt. Soc. Am. A. Opt. Image Sci. Vis.</w:t>
      </w:r>
      <w:r w:rsidRPr="007252A5">
        <w:rPr>
          <w:rFonts w:ascii="Times New Roman" w:hAnsi="Times New Roman" w:cs="Times New Roman"/>
          <w:sz w:val="20"/>
          <w:lang w:val="fr-FR"/>
        </w:rPr>
        <w:t xml:space="preserve"> </w:t>
      </w:r>
      <w:r w:rsidRPr="007252A5">
        <w:rPr>
          <w:rFonts w:ascii="Times New Roman" w:hAnsi="Times New Roman" w:cs="Times New Roman"/>
          <w:b/>
          <w:sz w:val="20"/>
          <w:lang w:val="fr-FR"/>
        </w:rPr>
        <w:t>20</w:t>
      </w:r>
      <w:r w:rsidRPr="007252A5">
        <w:rPr>
          <w:rFonts w:ascii="Times New Roman" w:hAnsi="Times New Roman" w:cs="Times New Roman"/>
          <w:sz w:val="20"/>
          <w:lang w:val="fr-FR"/>
        </w:rPr>
        <w:t>, 569-</w:t>
      </w:r>
      <w:r w:rsidR="00203494" w:rsidRPr="007252A5">
        <w:rPr>
          <w:rFonts w:ascii="Times New Roman" w:hAnsi="Times New Roman" w:cs="Times New Roman"/>
          <w:sz w:val="20"/>
          <w:lang w:val="fr-FR"/>
        </w:rPr>
        <w:t>5</w:t>
      </w:r>
      <w:r w:rsidRPr="007252A5">
        <w:rPr>
          <w:rFonts w:ascii="Times New Roman" w:hAnsi="Times New Roman" w:cs="Times New Roman"/>
          <w:sz w:val="20"/>
          <w:lang w:val="fr-FR"/>
        </w:rPr>
        <w:t>72 (2003).</w:t>
      </w:r>
    </w:p>
    <w:p w14:paraId="21180D52" w14:textId="23ECF0C6" w:rsidR="005C77FE" w:rsidRPr="0011068D" w:rsidRDefault="005C77FE" w:rsidP="0011068D">
      <w:pPr>
        <w:pStyle w:val="EndNoteBibliography"/>
        <w:ind w:left="720" w:hanging="720"/>
        <w:jc w:val="both"/>
        <w:rPr>
          <w:rFonts w:ascii="Times New Roman" w:hAnsi="Times New Roman" w:cs="Times New Roman"/>
          <w:sz w:val="20"/>
        </w:rPr>
      </w:pPr>
      <w:r w:rsidRPr="007252A5">
        <w:rPr>
          <w:rFonts w:ascii="Times New Roman" w:hAnsi="Times New Roman" w:cs="Times New Roman"/>
          <w:sz w:val="20"/>
          <w:lang w:val="fr-FR"/>
        </w:rPr>
        <w:t>3.</w:t>
      </w:r>
      <w:r w:rsidRPr="007252A5">
        <w:rPr>
          <w:rFonts w:ascii="Times New Roman" w:hAnsi="Times New Roman" w:cs="Times New Roman"/>
          <w:sz w:val="20"/>
          <w:lang w:val="fr-FR"/>
        </w:rPr>
        <w:tab/>
        <w:t xml:space="preserve">Menezes, L.d.S. et al. </w:t>
      </w:r>
      <w:r w:rsidRPr="0011068D">
        <w:rPr>
          <w:rFonts w:ascii="Times New Roman" w:hAnsi="Times New Roman" w:cs="Times New Roman"/>
          <w:sz w:val="20"/>
        </w:rPr>
        <w:t xml:space="preserve">Large third-order nonlinear susceptibility from a gold metasurface far off the plasmonic resonance. </w:t>
      </w:r>
      <w:r w:rsidRPr="0011068D">
        <w:rPr>
          <w:rFonts w:ascii="Times New Roman" w:hAnsi="Times New Roman" w:cs="Times New Roman"/>
          <w:i/>
          <w:sz w:val="20"/>
        </w:rPr>
        <w:t>J. Opt. Soc. Am. B</w:t>
      </w:r>
      <w:r w:rsidRPr="0011068D">
        <w:rPr>
          <w:rFonts w:ascii="Times New Roman" w:hAnsi="Times New Roman" w:cs="Times New Roman"/>
          <w:sz w:val="20"/>
        </w:rPr>
        <w:t xml:space="preserve"> </w:t>
      </w:r>
      <w:r w:rsidRPr="0011068D">
        <w:rPr>
          <w:rFonts w:ascii="Times New Roman" w:hAnsi="Times New Roman" w:cs="Times New Roman"/>
          <w:b/>
          <w:sz w:val="20"/>
        </w:rPr>
        <w:t>36</w:t>
      </w:r>
      <w:r w:rsidRPr="0011068D">
        <w:rPr>
          <w:rFonts w:ascii="Times New Roman" w:hAnsi="Times New Roman" w:cs="Times New Roman"/>
          <w:sz w:val="20"/>
        </w:rPr>
        <w:t xml:space="preserve"> </w:t>
      </w:r>
      <w:r w:rsidR="00CF76C8">
        <w:rPr>
          <w:rFonts w:ascii="Times New Roman" w:hAnsi="Times New Roman" w:cs="Times New Roman"/>
          <w:sz w:val="20"/>
        </w:rPr>
        <w:t>1485</w:t>
      </w:r>
      <w:r w:rsidR="00CF76C8">
        <w:rPr>
          <w:rFonts w:ascii="Times New Roman" w:hAnsi="Times New Roman" w:cs="Times New Roman" w:hint="eastAsia"/>
          <w:sz w:val="20"/>
          <w:lang w:eastAsia="zh-CN"/>
        </w:rPr>
        <w:t>-</w:t>
      </w:r>
      <w:r w:rsidR="00CF76C8">
        <w:rPr>
          <w:rFonts w:ascii="Times New Roman" w:hAnsi="Times New Roman" w:cs="Times New Roman"/>
          <w:sz w:val="20"/>
          <w:lang w:eastAsia="zh-CN"/>
        </w:rPr>
        <w:t xml:space="preserve">1491 </w:t>
      </w:r>
      <w:r w:rsidRPr="0011068D">
        <w:rPr>
          <w:rFonts w:ascii="Times New Roman" w:hAnsi="Times New Roman" w:cs="Times New Roman"/>
          <w:sz w:val="20"/>
        </w:rPr>
        <w:t>(2019).</w:t>
      </w:r>
    </w:p>
    <w:p w14:paraId="1DF129CD" w14:textId="4A08149C" w:rsidR="005C77FE" w:rsidRPr="0011068D" w:rsidRDefault="005C77FE" w:rsidP="0011068D">
      <w:pPr>
        <w:pStyle w:val="EndNoteBibliography"/>
        <w:ind w:left="720" w:hanging="720"/>
        <w:jc w:val="both"/>
        <w:rPr>
          <w:rFonts w:ascii="Times New Roman" w:hAnsi="Times New Roman" w:cs="Times New Roman"/>
          <w:sz w:val="20"/>
        </w:rPr>
      </w:pPr>
      <w:r w:rsidRPr="0011068D">
        <w:rPr>
          <w:rFonts w:ascii="Times New Roman" w:hAnsi="Times New Roman" w:cs="Times New Roman"/>
          <w:sz w:val="20"/>
        </w:rPr>
        <w:t>4.</w:t>
      </w:r>
      <w:r w:rsidRPr="0011068D">
        <w:rPr>
          <w:rFonts w:ascii="Times New Roman" w:hAnsi="Times New Roman" w:cs="Times New Roman"/>
          <w:sz w:val="20"/>
        </w:rPr>
        <w:tab/>
        <w:t xml:space="preserve">Zhao, D. et al. Plasmonic Saturable Absorbers. </w:t>
      </w:r>
      <w:r w:rsidRPr="0011068D">
        <w:rPr>
          <w:rFonts w:ascii="Times New Roman" w:hAnsi="Times New Roman" w:cs="Times New Roman"/>
          <w:i/>
          <w:sz w:val="20"/>
        </w:rPr>
        <w:t>Adv. Photonics Res.</w:t>
      </w:r>
      <w:r w:rsidRPr="0011068D">
        <w:rPr>
          <w:rFonts w:ascii="Times New Roman" w:hAnsi="Times New Roman" w:cs="Times New Roman"/>
          <w:sz w:val="20"/>
        </w:rPr>
        <w:t xml:space="preserve"> </w:t>
      </w:r>
      <w:r w:rsidRPr="0011068D">
        <w:rPr>
          <w:rFonts w:ascii="Times New Roman" w:hAnsi="Times New Roman" w:cs="Times New Roman"/>
          <w:b/>
          <w:sz w:val="20"/>
        </w:rPr>
        <w:t>2</w:t>
      </w:r>
      <w:r w:rsidRPr="0011068D">
        <w:rPr>
          <w:rFonts w:ascii="Times New Roman" w:hAnsi="Times New Roman" w:cs="Times New Roman"/>
          <w:bCs/>
          <w:sz w:val="20"/>
        </w:rPr>
        <w:t>, 2100003</w:t>
      </w:r>
      <w:r w:rsidRPr="0011068D">
        <w:rPr>
          <w:rFonts w:ascii="Times New Roman" w:hAnsi="Times New Roman" w:cs="Times New Roman"/>
          <w:sz w:val="20"/>
        </w:rPr>
        <w:t xml:space="preserve"> (2021).</w:t>
      </w:r>
    </w:p>
    <w:p w14:paraId="08147DEF" w14:textId="47139C67" w:rsidR="005C77FE" w:rsidRPr="0011068D" w:rsidRDefault="005C77FE" w:rsidP="0011068D">
      <w:pPr>
        <w:pStyle w:val="EndNoteBibliography"/>
        <w:ind w:left="720" w:hanging="720"/>
        <w:jc w:val="both"/>
        <w:rPr>
          <w:rFonts w:ascii="Times New Roman" w:hAnsi="Times New Roman" w:cs="Times New Roman"/>
          <w:sz w:val="20"/>
        </w:rPr>
      </w:pPr>
      <w:r w:rsidRPr="0011068D">
        <w:rPr>
          <w:rFonts w:ascii="Times New Roman" w:hAnsi="Times New Roman" w:cs="Times New Roman"/>
          <w:sz w:val="20"/>
        </w:rPr>
        <w:t>5.</w:t>
      </w:r>
      <w:r w:rsidRPr="0011068D">
        <w:rPr>
          <w:rFonts w:ascii="Times New Roman" w:hAnsi="Times New Roman" w:cs="Times New Roman"/>
          <w:sz w:val="20"/>
        </w:rPr>
        <w:tab/>
        <w:t xml:space="preserve">Huang, W., Qian, W. &amp; El-Sayed, M.A. Gold nanoparticles propulsion from surface fueled by absorption of femtosecond laser pulse at their surface plasmon resonance. </w:t>
      </w:r>
      <w:r w:rsidRPr="0011068D">
        <w:rPr>
          <w:rFonts w:ascii="Times New Roman" w:hAnsi="Times New Roman" w:cs="Times New Roman"/>
          <w:i/>
          <w:sz w:val="20"/>
        </w:rPr>
        <w:t>J</w:t>
      </w:r>
      <w:r w:rsidR="0011068D" w:rsidRPr="0011068D">
        <w:rPr>
          <w:rFonts w:ascii="Times New Roman" w:hAnsi="Times New Roman" w:cs="Times New Roman"/>
          <w:i/>
          <w:sz w:val="20"/>
        </w:rPr>
        <w:t>.</w:t>
      </w:r>
      <w:r w:rsidRPr="0011068D">
        <w:rPr>
          <w:rFonts w:ascii="Times New Roman" w:hAnsi="Times New Roman" w:cs="Times New Roman"/>
          <w:i/>
          <w:sz w:val="20"/>
        </w:rPr>
        <w:t xml:space="preserve"> Am</w:t>
      </w:r>
      <w:r w:rsidR="0011068D" w:rsidRPr="0011068D">
        <w:rPr>
          <w:rFonts w:ascii="Times New Roman" w:hAnsi="Times New Roman" w:cs="Times New Roman"/>
          <w:i/>
          <w:sz w:val="20"/>
        </w:rPr>
        <w:t>.</w:t>
      </w:r>
      <w:r w:rsidRPr="0011068D">
        <w:rPr>
          <w:rFonts w:ascii="Times New Roman" w:hAnsi="Times New Roman" w:cs="Times New Roman"/>
          <w:i/>
          <w:sz w:val="20"/>
        </w:rPr>
        <w:t xml:space="preserve"> Chem</w:t>
      </w:r>
      <w:r w:rsidR="0011068D" w:rsidRPr="0011068D">
        <w:rPr>
          <w:rFonts w:ascii="Times New Roman" w:hAnsi="Times New Roman" w:cs="Times New Roman"/>
          <w:i/>
          <w:sz w:val="20"/>
        </w:rPr>
        <w:t>.</w:t>
      </w:r>
      <w:r w:rsidRPr="0011068D">
        <w:rPr>
          <w:rFonts w:ascii="Times New Roman" w:hAnsi="Times New Roman" w:cs="Times New Roman"/>
          <w:i/>
          <w:sz w:val="20"/>
        </w:rPr>
        <w:t xml:space="preserve"> Soc</w:t>
      </w:r>
      <w:r w:rsidR="0011068D" w:rsidRPr="0011068D">
        <w:rPr>
          <w:rFonts w:ascii="Times New Roman" w:hAnsi="Times New Roman" w:cs="Times New Roman"/>
          <w:i/>
          <w:sz w:val="20"/>
        </w:rPr>
        <w:t>.</w:t>
      </w:r>
      <w:r w:rsidRPr="0011068D">
        <w:rPr>
          <w:rFonts w:ascii="Times New Roman" w:hAnsi="Times New Roman" w:cs="Times New Roman"/>
          <w:sz w:val="20"/>
        </w:rPr>
        <w:t xml:space="preserve"> </w:t>
      </w:r>
      <w:r w:rsidRPr="0011068D">
        <w:rPr>
          <w:rFonts w:ascii="Times New Roman" w:hAnsi="Times New Roman" w:cs="Times New Roman"/>
          <w:b/>
          <w:sz w:val="20"/>
        </w:rPr>
        <w:t>128</w:t>
      </w:r>
      <w:r w:rsidRPr="0011068D">
        <w:rPr>
          <w:rFonts w:ascii="Times New Roman" w:hAnsi="Times New Roman" w:cs="Times New Roman"/>
          <w:sz w:val="20"/>
        </w:rPr>
        <w:t>, 13330-1</w:t>
      </w:r>
      <w:r w:rsidR="00CF76C8">
        <w:rPr>
          <w:rFonts w:ascii="Times New Roman" w:hAnsi="Times New Roman" w:cs="Times New Roman"/>
          <w:sz w:val="20"/>
        </w:rPr>
        <w:t>3331</w:t>
      </w:r>
      <w:r w:rsidRPr="0011068D">
        <w:rPr>
          <w:rFonts w:ascii="Times New Roman" w:hAnsi="Times New Roman" w:cs="Times New Roman"/>
          <w:sz w:val="20"/>
        </w:rPr>
        <w:t xml:space="preserve"> (2006).</w:t>
      </w:r>
    </w:p>
    <w:p w14:paraId="6A8FD611" w14:textId="0E321CA4" w:rsidR="005C77FE" w:rsidRPr="0011068D" w:rsidRDefault="005C77FE" w:rsidP="0011068D">
      <w:pPr>
        <w:pStyle w:val="EndNoteBibliography"/>
        <w:ind w:left="720" w:hanging="720"/>
        <w:jc w:val="both"/>
        <w:rPr>
          <w:rFonts w:ascii="Times New Roman" w:hAnsi="Times New Roman" w:cs="Times New Roman"/>
          <w:sz w:val="20"/>
        </w:rPr>
      </w:pPr>
      <w:r w:rsidRPr="0011068D">
        <w:rPr>
          <w:rFonts w:ascii="Times New Roman" w:hAnsi="Times New Roman" w:cs="Times New Roman"/>
          <w:sz w:val="20"/>
        </w:rPr>
        <w:t>6.</w:t>
      </w:r>
      <w:r w:rsidRPr="0011068D">
        <w:rPr>
          <w:rFonts w:ascii="Times New Roman" w:hAnsi="Times New Roman" w:cs="Times New Roman"/>
          <w:sz w:val="20"/>
        </w:rPr>
        <w:tab/>
        <w:t xml:space="preserve">Nanophotonics: plasmonics and metal nanoparticles. </w:t>
      </w:r>
      <w:r w:rsidRPr="0011068D">
        <w:rPr>
          <w:rFonts w:ascii="Times New Roman" w:hAnsi="Times New Roman" w:cs="Times New Roman"/>
          <w:i/>
          <w:sz w:val="20"/>
        </w:rPr>
        <w:t>Phys</w:t>
      </w:r>
      <w:r w:rsidR="0011068D" w:rsidRPr="0011068D">
        <w:rPr>
          <w:rFonts w:ascii="Times New Roman" w:hAnsi="Times New Roman" w:cs="Times New Roman"/>
          <w:i/>
          <w:sz w:val="20"/>
        </w:rPr>
        <w:t>.</w:t>
      </w:r>
      <w:r w:rsidRPr="0011068D">
        <w:rPr>
          <w:rFonts w:ascii="Times New Roman" w:hAnsi="Times New Roman" w:cs="Times New Roman"/>
          <w:i/>
          <w:sz w:val="20"/>
        </w:rPr>
        <w:t xml:space="preserve"> Chem</w:t>
      </w:r>
      <w:r w:rsidR="0011068D" w:rsidRPr="0011068D">
        <w:rPr>
          <w:rFonts w:ascii="Times New Roman" w:hAnsi="Times New Roman" w:cs="Times New Roman"/>
          <w:i/>
          <w:sz w:val="20"/>
        </w:rPr>
        <w:t>.</w:t>
      </w:r>
      <w:r w:rsidRPr="0011068D">
        <w:rPr>
          <w:rFonts w:ascii="Times New Roman" w:hAnsi="Times New Roman" w:cs="Times New Roman"/>
          <w:i/>
          <w:sz w:val="20"/>
        </w:rPr>
        <w:t xml:space="preserve"> Chem</w:t>
      </w:r>
      <w:r w:rsidR="0011068D" w:rsidRPr="0011068D">
        <w:rPr>
          <w:rFonts w:ascii="Times New Roman" w:hAnsi="Times New Roman" w:cs="Times New Roman"/>
          <w:i/>
          <w:sz w:val="20"/>
        </w:rPr>
        <w:t>.</w:t>
      </w:r>
      <w:r w:rsidRPr="0011068D">
        <w:rPr>
          <w:rFonts w:ascii="Times New Roman" w:hAnsi="Times New Roman" w:cs="Times New Roman"/>
          <w:i/>
          <w:sz w:val="20"/>
        </w:rPr>
        <w:t xml:space="preserve"> Phys</w:t>
      </w:r>
      <w:r w:rsidR="0011068D" w:rsidRPr="0011068D">
        <w:rPr>
          <w:rFonts w:ascii="Times New Roman" w:hAnsi="Times New Roman" w:cs="Times New Roman"/>
          <w:i/>
          <w:sz w:val="20"/>
        </w:rPr>
        <w:t>.</w:t>
      </w:r>
      <w:r w:rsidRPr="0011068D">
        <w:rPr>
          <w:rFonts w:ascii="Times New Roman" w:hAnsi="Times New Roman" w:cs="Times New Roman"/>
          <w:sz w:val="20"/>
        </w:rPr>
        <w:t xml:space="preserve"> </w:t>
      </w:r>
      <w:r w:rsidRPr="0011068D">
        <w:rPr>
          <w:rFonts w:ascii="Times New Roman" w:hAnsi="Times New Roman" w:cs="Times New Roman"/>
          <w:b/>
          <w:sz w:val="20"/>
        </w:rPr>
        <w:t>11</w:t>
      </w:r>
      <w:r w:rsidRPr="0011068D">
        <w:rPr>
          <w:rFonts w:ascii="Times New Roman" w:hAnsi="Times New Roman" w:cs="Times New Roman"/>
          <w:sz w:val="20"/>
        </w:rPr>
        <w:t>, 5866 (2009).</w:t>
      </w:r>
    </w:p>
    <w:p w14:paraId="7425C480" w14:textId="237C6991" w:rsidR="005C77FE" w:rsidRPr="0011068D" w:rsidRDefault="005C77FE" w:rsidP="0011068D">
      <w:pPr>
        <w:pStyle w:val="EndNoteBibliography"/>
        <w:ind w:left="720" w:hanging="720"/>
        <w:jc w:val="both"/>
        <w:rPr>
          <w:rFonts w:ascii="Times New Roman" w:hAnsi="Times New Roman" w:cs="Times New Roman"/>
          <w:sz w:val="20"/>
        </w:rPr>
      </w:pPr>
      <w:r w:rsidRPr="0011068D">
        <w:rPr>
          <w:rFonts w:ascii="Times New Roman" w:hAnsi="Times New Roman" w:cs="Times New Roman"/>
          <w:sz w:val="20"/>
        </w:rPr>
        <w:t>7.</w:t>
      </w:r>
      <w:r w:rsidRPr="0011068D">
        <w:rPr>
          <w:rFonts w:ascii="Times New Roman" w:hAnsi="Times New Roman" w:cs="Times New Roman"/>
          <w:sz w:val="20"/>
        </w:rPr>
        <w:tab/>
        <w:t xml:space="preserve">Taylor, A.B., Siddiquee, A.M. &amp; Chon, J.W. Below melting point photothermal reshaping of single gold nanorods driven by surface diffusion. </w:t>
      </w:r>
      <w:r w:rsidRPr="0011068D">
        <w:rPr>
          <w:rFonts w:ascii="Times New Roman" w:hAnsi="Times New Roman" w:cs="Times New Roman"/>
          <w:i/>
          <w:sz w:val="20"/>
        </w:rPr>
        <w:t>ACS Nano</w:t>
      </w:r>
      <w:r w:rsidRPr="0011068D">
        <w:rPr>
          <w:rFonts w:ascii="Times New Roman" w:hAnsi="Times New Roman" w:cs="Times New Roman"/>
          <w:sz w:val="20"/>
        </w:rPr>
        <w:t xml:space="preserve"> </w:t>
      </w:r>
      <w:r w:rsidRPr="0011068D">
        <w:rPr>
          <w:rFonts w:ascii="Times New Roman" w:hAnsi="Times New Roman" w:cs="Times New Roman"/>
          <w:b/>
          <w:sz w:val="20"/>
        </w:rPr>
        <w:t>8</w:t>
      </w:r>
      <w:r w:rsidRPr="0011068D">
        <w:rPr>
          <w:rFonts w:ascii="Times New Roman" w:hAnsi="Times New Roman" w:cs="Times New Roman"/>
          <w:sz w:val="20"/>
        </w:rPr>
        <w:t>, 12071-</w:t>
      </w:r>
      <w:r w:rsidR="00203494">
        <w:rPr>
          <w:rFonts w:ascii="Times New Roman" w:hAnsi="Times New Roman" w:cs="Times New Roman"/>
          <w:sz w:val="20"/>
        </w:rPr>
        <w:t>1207</w:t>
      </w:r>
      <w:r w:rsidRPr="0011068D">
        <w:rPr>
          <w:rFonts w:ascii="Times New Roman" w:hAnsi="Times New Roman" w:cs="Times New Roman"/>
          <w:sz w:val="20"/>
        </w:rPr>
        <w:t>9 (2014).</w:t>
      </w:r>
    </w:p>
    <w:p w14:paraId="22EFD971" w14:textId="4D18C705" w:rsidR="005C77FE" w:rsidRPr="0011068D" w:rsidRDefault="005C77FE" w:rsidP="0011068D">
      <w:pPr>
        <w:pStyle w:val="EndNoteBibliography"/>
        <w:ind w:left="720" w:hanging="720"/>
        <w:jc w:val="both"/>
        <w:rPr>
          <w:rFonts w:ascii="Times New Roman" w:hAnsi="Times New Roman" w:cs="Times New Roman"/>
          <w:sz w:val="20"/>
        </w:rPr>
      </w:pPr>
      <w:r w:rsidRPr="0011068D">
        <w:rPr>
          <w:rFonts w:ascii="Times New Roman" w:hAnsi="Times New Roman" w:cs="Times New Roman"/>
          <w:sz w:val="20"/>
        </w:rPr>
        <w:t>8.</w:t>
      </w:r>
      <w:r w:rsidRPr="0011068D">
        <w:rPr>
          <w:rFonts w:ascii="Times New Roman" w:hAnsi="Times New Roman" w:cs="Times New Roman"/>
          <w:sz w:val="20"/>
        </w:rPr>
        <w:tab/>
        <w:t xml:space="preserve">Hache, F. et al. The optical kerr effect in small metal particles and metal colloids: The case of gold. </w:t>
      </w:r>
      <w:r w:rsidRPr="0011068D">
        <w:rPr>
          <w:rFonts w:ascii="Times New Roman" w:hAnsi="Times New Roman" w:cs="Times New Roman"/>
          <w:i/>
          <w:sz w:val="20"/>
        </w:rPr>
        <w:t>Appl</w:t>
      </w:r>
      <w:r w:rsidR="0011068D" w:rsidRPr="0011068D">
        <w:rPr>
          <w:rFonts w:ascii="Times New Roman" w:hAnsi="Times New Roman" w:cs="Times New Roman"/>
          <w:i/>
          <w:sz w:val="20"/>
        </w:rPr>
        <w:t>.</w:t>
      </w:r>
      <w:r w:rsidRPr="0011068D">
        <w:rPr>
          <w:rFonts w:ascii="Times New Roman" w:hAnsi="Times New Roman" w:cs="Times New Roman"/>
          <w:i/>
          <w:sz w:val="20"/>
        </w:rPr>
        <w:t xml:space="preserve"> Phys</w:t>
      </w:r>
      <w:r w:rsidR="0011068D" w:rsidRPr="0011068D">
        <w:rPr>
          <w:rFonts w:ascii="Times New Roman" w:hAnsi="Times New Roman" w:cs="Times New Roman"/>
          <w:i/>
          <w:sz w:val="20"/>
        </w:rPr>
        <w:t>.</w:t>
      </w:r>
      <w:r w:rsidRPr="0011068D">
        <w:rPr>
          <w:rFonts w:ascii="Times New Roman" w:hAnsi="Times New Roman" w:cs="Times New Roman"/>
          <w:i/>
          <w:sz w:val="20"/>
        </w:rPr>
        <w:t xml:space="preserve"> A</w:t>
      </w:r>
      <w:r w:rsidRPr="0011068D">
        <w:rPr>
          <w:rFonts w:ascii="Times New Roman" w:hAnsi="Times New Roman" w:cs="Times New Roman"/>
          <w:sz w:val="20"/>
        </w:rPr>
        <w:t xml:space="preserve"> </w:t>
      </w:r>
      <w:r w:rsidRPr="0011068D">
        <w:rPr>
          <w:rFonts w:ascii="Times New Roman" w:hAnsi="Times New Roman" w:cs="Times New Roman"/>
          <w:b/>
          <w:sz w:val="20"/>
        </w:rPr>
        <w:t>47</w:t>
      </w:r>
      <w:r w:rsidRPr="0011068D">
        <w:rPr>
          <w:rFonts w:ascii="Times New Roman" w:hAnsi="Times New Roman" w:cs="Times New Roman"/>
          <w:sz w:val="20"/>
        </w:rPr>
        <w:t>, 347-357 (1988).</w:t>
      </w:r>
    </w:p>
    <w:p w14:paraId="18B67171" w14:textId="1259CF6C" w:rsidR="00C1651A" w:rsidRPr="00C1651A" w:rsidRDefault="005C77FE" w:rsidP="0011068D">
      <w:pPr>
        <w:pStyle w:val="07Copyright"/>
        <w:rPr>
          <w:rFonts w:ascii="Times New Roman" w:hAnsi="Times New Roman"/>
          <w:sz w:val="20"/>
        </w:rPr>
      </w:pPr>
      <w:r w:rsidRPr="0011068D">
        <w:rPr>
          <w:rFonts w:ascii="Times New Roman" w:hAnsi="Times New Roman" w:cs="Times New Roman"/>
          <w:sz w:val="20"/>
          <w:szCs w:val="20"/>
        </w:rPr>
        <w:fldChar w:fldCharType="end"/>
      </w:r>
    </w:p>
    <w:sectPr w:rsidR="00C1651A" w:rsidRPr="00C1651A" w:rsidSect="0081577A">
      <w:pgSz w:w="12240" w:h="15840"/>
      <w:pgMar w:top="1872" w:right="2347" w:bottom="1872" w:left="234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00668" w14:textId="77777777" w:rsidR="00031915" w:rsidRDefault="00031915" w:rsidP="00EA0658">
      <w:pPr>
        <w:spacing w:after="0" w:line="240" w:lineRule="auto"/>
      </w:pPr>
      <w:r>
        <w:separator/>
      </w:r>
    </w:p>
  </w:endnote>
  <w:endnote w:type="continuationSeparator" w:id="0">
    <w:p w14:paraId="62E567F7" w14:textId="77777777" w:rsidR="00031915" w:rsidRDefault="00031915" w:rsidP="00EA06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6F603" w14:textId="77777777" w:rsidR="00031915" w:rsidRDefault="00031915" w:rsidP="00EA0658">
      <w:pPr>
        <w:spacing w:after="0" w:line="240" w:lineRule="auto"/>
      </w:pPr>
      <w:r>
        <w:separator/>
      </w:r>
    </w:p>
  </w:footnote>
  <w:footnote w:type="continuationSeparator" w:id="0">
    <w:p w14:paraId="0E0E18F7" w14:textId="77777777" w:rsidR="00031915" w:rsidRDefault="00031915" w:rsidP="00EA06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56C67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A0469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EAC41E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43242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3FCE5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DA686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B600B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84915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77C0D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844B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3A33AD"/>
    <w:multiLevelType w:val="hybridMultilevel"/>
    <w:tmpl w:val="831E8016"/>
    <w:lvl w:ilvl="0" w:tplc="2AE4E9C6">
      <w:start w:val="1"/>
      <w:numFmt w:val="bullet"/>
      <w:pStyle w:val="17ListBulleted"/>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C497324"/>
    <w:multiLevelType w:val="hybridMultilevel"/>
    <w:tmpl w:val="0E507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7C05EC"/>
    <w:multiLevelType w:val="hybridMultilevel"/>
    <w:tmpl w:val="12885B88"/>
    <w:lvl w:ilvl="0" w:tplc="621438BC">
      <w:start w:val="1"/>
      <w:numFmt w:val="decimal"/>
      <w:lvlText w:val="%1)"/>
      <w:lvlJc w:val="left"/>
      <w:pPr>
        <w:ind w:left="360" w:hanging="36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4010ED4"/>
    <w:multiLevelType w:val="multilevel"/>
    <w:tmpl w:val="72E88FE4"/>
    <w:lvl w:ilvl="0">
      <w:start w:val="1"/>
      <w:numFmt w:val="decimal"/>
      <w:pStyle w:val="08SectionHeader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C57920"/>
    <w:multiLevelType w:val="hybridMultilevel"/>
    <w:tmpl w:val="4F4CA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772220"/>
    <w:multiLevelType w:val="hybridMultilevel"/>
    <w:tmpl w:val="4C54C734"/>
    <w:lvl w:ilvl="0" w:tplc="D04ED72E">
      <w:start w:val="1"/>
      <w:numFmt w:val="decimal"/>
      <w:pStyle w:val="24Reference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8533291"/>
    <w:multiLevelType w:val="hybridMultilevel"/>
    <w:tmpl w:val="7E18DD88"/>
    <w:lvl w:ilvl="0" w:tplc="95543BE8">
      <w:start w:val="1"/>
      <w:numFmt w:val="decimal"/>
      <w:lvlText w:val="[%1]"/>
      <w:lvlJc w:val="left"/>
      <w:pPr>
        <w:ind w:left="420" w:hanging="420"/>
      </w:pPr>
      <w:rPr>
        <w:rFonts w:hint="eastAsia"/>
        <w:b w:val="0"/>
        <w:bCs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22"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3"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24"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25" w15:restartNumberingAfterBreak="0">
    <w:nsid w:val="3B557C90"/>
    <w:multiLevelType w:val="hybridMultilevel"/>
    <w:tmpl w:val="DEB6A4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BC11591"/>
    <w:multiLevelType w:val="hybridMultilevel"/>
    <w:tmpl w:val="265E3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28"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29" w15:restartNumberingAfterBreak="0">
    <w:nsid w:val="549929DE"/>
    <w:multiLevelType w:val="hybridMultilevel"/>
    <w:tmpl w:val="D6FE65AC"/>
    <w:lvl w:ilvl="0" w:tplc="FB5EEEB8">
      <w:start w:val="1"/>
      <w:numFmt w:val="decimal"/>
      <w:pStyle w:val="19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7BB6430"/>
    <w:multiLevelType w:val="hybridMultilevel"/>
    <w:tmpl w:val="2138B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602A0A"/>
    <w:multiLevelType w:val="hybridMultilevel"/>
    <w:tmpl w:val="5B621E72"/>
    <w:lvl w:ilvl="0" w:tplc="805A9A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B3B1349"/>
    <w:multiLevelType w:val="hybridMultilevel"/>
    <w:tmpl w:val="F906F310"/>
    <w:lvl w:ilvl="0" w:tplc="26A61E8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EC84BF4"/>
    <w:multiLevelType w:val="hybridMultilevel"/>
    <w:tmpl w:val="D6761426"/>
    <w:lvl w:ilvl="0" w:tplc="C3BE05EE">
      <w:start w:val="1"/>
      <w:numFmt w:val="lowerLetter"/>
      <w:pStyle w:val="19ListNumber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922106178">
    <w:abstractNumId w:val="16"/>
  </w:num>
  <w:num w:numId="2" w16cid:durableId="3023025">
    <w:abstractNumId w:val="31"/>
  </w:num>
  <w:num w:numId="3" w16cid:durableId="1533372537">
    <w:abstractNumId w:val="15"/>
  </w:num>
  <w:num w:numId="4" w16cid:durableId="1900358030">
    <w:abstractNumId w:val="25"/>
  </w:num>
  <w:num w:numId="5" w16cid:durableId="379286163">
    <w:abstractNumId w:val="13"/>
  </w:num>
  <w:num w:numId="6" w16cid:durableId="1986396699">
    <w:abstractNumId w:val="30"/>
  </w:num>
  <w:num w:numId="7" w16cid:durableId="314798858">
    <w:abstractNumId w:val="29"/>
  </w:num>
  <w:num w:numId="8" w16cid:durableId="1522548245">
    <w:abstractNumId w:val="33"/>
  </w:num>
  <w:num w:numId="9" w16cid:durableId="196048765">
    <w:abstractNumId w:val="10"/>
  </w:num>
  <w:num w:numId="10" w16cid:durableId="212891045">
    <w:abstractNumId w:val="9"/>
  </w:num>
  <w:num w:numId="11" w16cid:durableId="566889546">
    <w:abstractNumId w:val="7"/>
  </w:num>
  <w:num w:numId="12" w16cid:durableId="177961622">
    <w:abstractNumId w:val="6"/>
  </w:num>
  <w:num w:numId="13" w16cid:durableId="13116255">
    <w:abstractNumId w:val="5"/>
  </w:num>
  <w:num w:numId="14" w16cid:durableId="2011637164">
    <w:abstractNumId w:val="4"/>
  </w:num>
  <w:num w:numId="15" w16cid:durableId="136535301">
    <w:abstractNumId w:val="8"/>
  </w:num>
  <w:num w:numId="16" w16cid:durableId="321814106">
    <w:abstractNumId w:val="3"/>
  </w:num>
  <w:num w:numId="17" w16cid:durableId="2060587469">
    <w:abstractNumId w:val="2"/>
  </w:num>
  <w:num w:numId="18" w16cid:durableId="672955468">
    <w:abstractNumId w:val="1"/>
  </w:num>
  <w:num w:numId="19" w16cid:durableId="1578899581">
    <w:abstractNumId w:val="0"/>
  </w:num>
  <w:num w:numId="20" w16cid:durableId="404301339">
    <w:abstractNumId w:val="32"/>
  </w:num>
  <w:num w:numId="21" w16cid:durableId="935675898">
    <w:abstractNumId w:val="11"/>
  </w:num>
  <w:num w:numId="22" w16cid:durableId="184637350">
    <w:abstractNumId w:val="26"/>
  </w:num>
  <w:num w:numId="23" w16cid:durableId="1187258910">
    <w:abstractNumId w:val="27"/>
  </w:num>
  <w:num w:numId="24" w16cid:durableId="620959390">
    <w:abstractNumId w:val="23"/>
  </w:num>
  <w:num w:numId="25" w16cid:durableId="200941948">
    <w:abstractNumId w:val="28"/>
  </w:num>
  <w:num w:numId="26" w16cid:durableId="1371109066">
    <w:abstractNumId w:val="24"/>
  </w:num>
  <w:num w:numId="27" w16cid:durableId="1895195567">
    <w:abstractNumId w:val="22"/>
  </w:num>
  <w:num w:numId="28" w16cid:durableId="1641569077">
    <w:abstractNumId w:val="21"/>
  </w:num>
  <w:num w:numId="29" w16cid:durableId="36470204">
    <w:abstractNumId w:val="20"/>
  </w:num>
  <w:num w:numId="30" w16cid:durableId="1958634158">
    <w:abstractNumId w:val="18"/>
  </w:num>
  <w:num w:numId="31" w16cid:durableId="1280912623">
    <w:abstractNumId w:val="14"/>
  </w:num>
  <w:num w:numId="32" w16cid:durableId="1634943468">
    <w:abstractNumId w:val="19"/>
  </w:num>
  <w:num w:numId="33" w16cid:durableId="1815563875">
    <w:abstractNumId w:val="17"/>
  </w:num>
  <w:num w:numId="34" w16cid:durableId="1883667269">
    <w:abstractNumId w:val="17"/>
    <w:lvlOverride w:ilvl="0">
      <w:lvl w:ilvl="0" w:tplc="95543BE8">
        <w:start w:val="1"/>
        <w:numFmt w:val="decimal"/>
        <w:lvlText w:val="[%1]"/>
        <w:lvlJc w:val="left"/>
        <w:pPr>
          <w:ind w:left="420" w:hanging="420"/>
        </w:pPr>
        <w:rPr>
          <w:rFonts w:ascii="Times New Roman" w:hAnsi="Times New Roman" w:cs="Times New Roman" w:hint="default"/>
          <w:b w:val="0"/>
          <w:bCs w:val="0"/>
          <w:color w:val="auto"/>
        </w:rPr>
      </w:lvl>
    </w:lvlOverride>
    <w:lvlOverride w:ilvl="1">
      <w:lvl w:ilvl="1" w:tplc="04090019"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 w:numId="35" w16cid:durableId="66736907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activeWritingStyle w:appName="MSWord" w:lang="en-GB" w:vendorID="64" w:dllVersion="4096" w:nlCheck="1" w:checkStyle="0"/>
  <w:activeWritingStyle w:appName="MSWord" w:lang="zh-CN" w:vendorID="64" w:dllVersion="0" w:nlCheck="1" w:checkStyle="1"/>
  <w:activeWritingStyle w:appName="MSWord" w:lang="fr-FR" w:vendorID="64" w:dllVersion="0" w:nlCheck="1" w:checkStyle="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ight Advanced Manufacturing-LAM&lt;/Style&gt;&lt;LeftDelim&gt;{&lt;/LeftDelim&gt;&lt;RightDelim&gt;}&lt;/RightDelim&gt;&lt;FontName&gt;Arial&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ezfexv915dafwesxe75rp2f99trfvtsxdw5&quot;&gt;My EndNote Library&lt;record-ids&gt;&lt;item&gt;117&lt;/item&gt;&lt;item&gt;120&lt;/item&gt;&lt;item&gt;254&lt;/item&gt;&lt;item&gt;256&lt;/item&gt;&lt;item&gt;257&lt;/item&gt;&lt;item&gt;258&lt;/item&gt;&lt;/record-ids&gt;&lt;/item&gt;&lt;/Libraries&gt;"/>
  </w:docVars>
  <w:rsids>
    <w:rsidRoot w:val="006E3663"/>
    <w:rsid w:val="000013B7"/>
    <w:rsid w:val="000021AA"/>
    <w:rsid w:val="00002E70"/>
    <w:rsid w:val="00005307"/>
    <w:rsid w:val="00006591"/>
    <w:rsid w:val="00022A47"/>
    <w:rsid w:val="00025EED"/>
    <w:rsid w:val="00031915"/>
    <w:rsid w:val="00036639"/>
    <w:rsid w:val="000366A8"/>
    <w:rsid w:val="00046FCF"/>
    <w:rsid w:val="000554E2"/>
    <w:rsid w:val="000615EE"/>
    <w:rsid w:val="00062D82"/>
    <w:rsid w:val="000859E1"/>
    <w:rsid w:val="00086BC8"/>
    <w:rsid w:val="00092896"/>
    <w:rsid w:val="000A1A24"/>
    <w:rsid w:val="000B0402"/>
    <w:rsid w:val="000B541A"/>
    <w:rsid w:val="000C5E99"/>
    <w:rsid w:val="000E3557"/>
    <w:rsid w:val="000E390D"/>
    <w:rsid w:val="001040C4"/>
    <w:rsid w:val="001075E7"/>
    <w:rsid w:val="0011068D"/>
    <w:rsid w:val="0012111D"/>
    <w:rsid w:val="00155DB2"/>
    <w:rsid w:val="00176184"/>
    <w:rsid w:val="0018075C"/>
    <w:rsid w:val="001920EE"/>
    <w:rsid w:val="001A28CD"/>
    <w:rsid w:val="001A4DE8"/>
    <w:rsid w:val="001A795C"/>
    <w:rsid w:val="001C1A8F"/>
    <w:rsid w:val="001D5DF1"/>
    <w:rsid w:val="001D7461"/>
    <w:rsid w:val="001E01C7"/>
    <w:rsid w:val="001E3BC9"/>
    <w:rsid w:val="0020118A"/>
    <w:rsid w:val="00202883"/>
    <w:rsid w:val="00203494"/>
    <w:rsid w:val="002149BC"/>
    <w:rsid w:val="00225EE0"/>
    <w:rsid w:val="0023587A"/>
    <w:rsid w:val="00241F85"/>
    <w:rsid w:val="0025207C"/>
    <w:rsid w:val="00271DF7"/>
    <w:rsid w:val="00285F00"/>
    <w:rsid w:val="00291247"/>
    <w:rsid w:val="0029412B"/>
    <w:rsid w:val="002A2E82"/>
    <w:rsid w:val="002A6535"/>
    <w:rsid w:val="002D0D89"/>
    <w:rsid w:val="002D38D1"/>
    <w:rsid w:val="002D43D6"/>
    <w:rsid w:val="002E0DDB"/>
    <w:rsid w:val="002E2F1C"/>
    <w:rsid w:val="002F13BA"/>
    <w:rsid w:val="002F14ED"/>
    <w:rsid w:val="002F389C"/>
    <w:rsid w:val="002F3EE2"/>
    <w:rsid w:val="00301AA5"/>
    <w:rsid w:val="00331AB2"/>
    <w:rsid w:val="00333C67"/>
    <w:rsid w:val="00336EB6"/>
    <w:rsid w:val="00350965"/>
    <w:rsid w:val="0036209C"/>
    <w:rsid w:val="00383428"/>
    <w:rsid w:val="00394FAA"/>
    <w:rsid w:val="003B1339"/>
    <w:rsid w:val="003D61A7"/>
    <w:rsid w:val="003E53F8"/>
    <w:rsid w:val="003F2F9F"/>
    <w:rsid w:val="004048F5"/>
    <w:rsid w:val="0040718B"/>
    <w:rsid w:val="00416CDD"/>
    <w:rsid w:val="00432E94"/>
    <w:rsid w:val="00435547"/>
    <w:rsid w:val="0046510A"/>
    <w:rsid w:val="0046600E"/>
    <w:rsid w:val="00473B6A"/>
    <w:rsid w:val="00474C0F"/>
    <w:rsid w:val="0048331C"/>
    <w:rsid w:val="00496C99"/>
    <w:rsid w:val="00497360"/>
    <w:rsid w:val="004B6F87"/>
    <w:rsid w:val="004C07AE"/>
    <w:rsid w:val="004D0EEF"/>
    <w:rsid w:val="004D27D7"/>
    <w:rsid w:val="004D54AD"/>
    <w:rsid w:val="004E07A0"/>
    <w:rsid w:val="004E5380"/>
    <w:rsid w:val="004F6039"/>
    <w:rsid w:val="00514F5B"/>
    <w:rsid w:val="00535347"/>
    <w:rsid w:val="00560F5B"/>
    <w:rsid w:val="005758F8"/>
    <w:rsid w:val="00576D81"/>
    <w:rsid w:val="00591164"/>
    <w:rsid w:val="00595A48"/>
    <w:rsid w:val="005A1703"/>
    <w:rsid w:val="005A33E2"/>
    <w:rsid w:val="005B641F"/>
    <w:rsid w:val="005C5922"/>
    <w:rsid w:val="005C77FE"/>
    <w:rsid w:val="005D3C95"/>
    <w:rsid w:val="005E73B2"/>
    <w:rsid w:val="005F4008"/>
    <w:rsid w:val="006005DA"/>
    <w:rsid w:val="006270B3"/>
    <w:rsid w:val="00627317"/>
    <w:rsid w:val="00643829"/>
    <w:rsid w:val="006508E1"/>
    <w:rsid w:val="00674706"/>
    <w:rsid w:val="006A0275"/>
    <w:rsid w:val="006B1167"/>
    <w:rsid w:val="006E097B"/>
    <w:rsid w:val="006E3663"/>
    <w:rsid w:val="006F6260"/>
    <w:rsid w:val="006F644D"/>
    <w:rsid w:val="00714ACE"/>
    <w:rsid w:val="007157C5"/>
    <w:rsid w:val="007252A5"/>
    <w:rsid w:val="007269F9"/>
    <w:rsid w:val="00762B85"/>
    <w:rsid w:val="00772C69"/>
    <w:rsid w:val="0079329E"/>
    <w:rsid w:val="007A717D"/>
    <w:rsid w:val="007B2071"/>
    <w:rsid w:val="007B3B5C"/>
    <w:rsid w:val="007B6528"/>
    <w:rsid w:val="007D43A4"/>
    <w:rsid w:val="007D7494"/>
    <w:rsid w:val="007E1A52"/>
    <w:rsid w:val="007E3510"/>
    <w:rsid w:val="007F35CC"/>
    <w:rsid w:val="008011A4"/>
    <w:rsid w:val="0080185D"/>
    <w:rsid w:val="00804C9B"/>
    <w:rsid w:val="0081577A"/>
    <w:rsid w:val="00824C53"/>
    <w:rsid w:val="00842D6F"/>
    <w:rsid w:val="00847C26"/>
    <w:rsid w:val="008904A5"/>
    <w:rsid w:val="008C57CE"/>
    <w:rsid w:val="008D2873"/>
    <w:rsid w:val="008E4E83"/>
    <w:rsid w:val="00907C09"/>
    <w:rsid w:val="009508BC"/>
    <w:rsid w:val="00964C9B"/>
    <w:rsid w:val="00974BEF"/>
    <w:rsid w:val="009909E8"/>
    <w:rsid w:val="00994199"/>
    <w:rsid w:val="009C7256"/>
    <w:rsid w:val="009F0340"/>
    <w:rsid w:val="009F147C"/>
    <w:rsid w:val="00A035D7"/>
    <w:rsid w:val="00A05A2A"/>
    <w:rsid w:val="00A06C24"/>
    <w:rsid w:val="00A32E35"/>
    <w:rsid w:val="00A40EFB"/>
    <w:rsid w:val="00A52528"/>
    <w:rsid w:val="00A55B30"/>
    <w:rsid w:val="00A568B6"/>
    <w:rsid w:val="00A62764"/>
    <w:rsid w:val="00AE6551"/>
    <w:rsid w:val="00AF719D"/>
    <w:rsid w:val="00B345AD"/>
    <w:rsid w:val="00B42950"/>
    <w:rsid w:val="00B7620C"/>
    <w:rsid w:val="00B971C8"/>
    <w:rsid w:val="00BB6B29"/>
    <w:rsid w:val="00BB73D5"/>
    <w:rsid w:val="00BC55D1"/>
    <w:rsid w:val="00BD2F0B"/>
    <w:rsid w:val="00BF64A9"/>
    <w:rsid w:val="00BF6557"/>
    <w:rsid w:val="00C13906"/>
    <w:rsid w:val="00C1651A"/>
    <w:rsid w:val="00C202EA"/>
    <w:rsid w:val="00C33C56"/>
    <w:rsid w:val="00C413BF"/>
    <w:rsid w:val="00C72240"/>
    <w:rsid w:val="00C90584"/>
    <w:rsid w:val="00C91E6C"/>
    <w:rsid w:val="00C923FD"/>
    <w:rsid w:val="00CA775C"/>
    <w:rsid w:val="00CB0396"/>
    <w:rsid w:val="00CD0466"/>
    <w:rsid w:val="00CD3D08"/>
    <w:rsid w:val="00CD53BE"/>
    <w:rsid w:val="00CD7E37"/>
    <w:rsid w:val="00CE587E"/>
    <w:rsid w:val="00CF76C8"/>
    <w:rsid w:val="00D00A9D"/>
    <w:rsid w:val="00D07434"/>
    <w:rsid w:val="00D2683C"/>
    <w:rsid w:val="00D4248B"/>
    <w:rsid w:val="00D4249C"/>
    <w:rsid w:val="00D44604"/>
    <w:rsid w:val="00D56A9B"/>
    <w:rsid w:val="00D87603"/>
    <w:rsid w:val="00D91A4A"/>
    <w:rsid w:val="00DC1EF1"/>
    <w:rsid w:val="00DD2514"/>
    <w:rsid w:val="00DE68A7"/>
    <w:rsid w:val="00DF10EB"/>
    <w:rsid w:val="00DF59C2"/>
    <w:rsid w:val="00DF6C7C"/>
    <w:rsid w:val="00E00665"/>
    <w:rsid w:val="00E054F8"/>
    <w:rsid w:val="00E0750A"/>
    <w:rsid w:val="00E71198"/>
    <w:rsid w:val="00E8231A"/>
    <w:rsid w:val="00E86B64"/>
    <w:rsid w:val="00E976D1"/>
    <w:rsid w:val="00EA0214"/>
    <w:rsid w:val="00EA0658"/>
    <w:rsid w:val="00EB38EC"/>
    <w:rsid w:val="00EC0262"/>
    <w:rsid w:val="00EC1A15"/>
    <w:rsid w:val="00EC755F"/>
    <w:rsid w:val="00ED2C69"/>
    <w:rsid w:val="00EE26F9"/>
    <w:rsid w:val="00EF09E8"/>
    <w:rsid w:val="00F03760"/>
    <w:rsid w:val="00F12DA4"/>
    <w:rsid w:val="00F20BAC"/>
    <w:rsid w:val="00F33E52"/>
    <w:rsid w:val="00F3556C"/>
    <w:rsid w:val="00F72D24"/>
    <w:rsid w:val="00F73C4E"/>
    <w:rsid w:val="00F75B1B"/>
    <w:rsid w:val="00F92333"/>
    <w:rsid w:val="00F93D5F"/>
    <w:rsid w:val="00F969F1"/>
    <w:rsid w:val="00FA079F"/>
    <w:rsid w:val="00FA1BFD"/>
    <w:rsid w:val="00FB1919"/>
    <w:rsid w:val="00FC10AC"/>
    <w:rsid w:val="00FC5DCC"/>
    <w:rsid w:val="00FD5E0D"/>
    <w:rsid w:val="00FE6912"/>
    <w:rsid w:val="00FE6F35"/>
    <w:rsid w:val="00FF32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EAA1FA"/>
  <w15:docId w15:val="{3CF04A3C-FF5E-45C1-A1F9-D8D8E8A55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rsid w:val="0020118A"/>
  </w:style>
  <w:style w:type="paragraph" w:styleId="Heading1">
    <w:name w:val="heading 1"/>
    <w:basedOn w:val="Normal"/>
    <w:next w:val="Normal"/>
    <w:link w:val="Heading1Char"/>
    <w:uiPriority w:val="9"/>
    <w:qFormat/>
    <w:rsid w:val="006270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Title">
    <w:name w:val="01. Title"/>
    <w:basedOn w:val="Normal"/>
    <w:next w:val="02Author"/>
    <w:qFormat/>
    <w:rsid w:val="000615EE"/>
    <w:pPr>
      <w:spacing w:after="0" w:line="240" w:lineRule="auto"/>
    </w:pPr>
    <w:rPr>
      <w:rFonts w:ascii="Arial" w:hAnsi="Arial"/>
      <w:b/>
      <w:spacing w:val="10"/>
      <w:kern w:val="32"/>
      <w:sz w:val="32"/>
    </w:rPr>
  </w:style>
  <w:style w:type="paragraph" w:customStyle="1" w:styleId="02Author-BOE">
    <w:name w:val="02. Author - BOE"/>
    <w:basedOn w:val="01Title"/>
    <w:next w:val="03AuthorAffiliation"/>
    <w:qFormat/>
    <w:rsid w:val="000615EE"/>
    <w:pPr>
      <w:spacing w:before="240" w:after="80"/>
    </w:pPr>
    <w:rPr>
      <w:smallCaps/>
      <w:color w:val="7C130E"/>
      <w:spacing w:val="0"/>
      <w:kern w:val="0"/>
      <w:sz w:val="24"/>
    </w:rPr>
  </w:style>
  <w:style w:type="paragraph" w:customStyle="1" w:styleId="10BodySubsequentParagraph">
    <w:name w:val="10. Body Subsequent Paragraph"/>
    <w:basedOn w:val="09BodyFirstParagraph"/>
    <w:link w:val="10BodySubsequentParagraphChar"/>
    <w:qFormat/>
    <w:rsid w:val="00A568B6"/>
    <w:pPr>
      <w:spacing w:before="0"/>
      <w:ind w:firstLine="288"/>
    </w:pPr>
  </w:style>
  <w:style w:type="paragraph" w:customStyle="1" w:styleId="03AuthorAffiliation">
    <w:name w:val="03. Author Affiliation"/>
    <w:basedOn w:val="NoSpacing"/>
    <w:next w:val="04Email"/>
    <w:qFormat/>
    <w:rsid w:val="00CE587E"/>
    <w:rPr>
      <w:rFonts w:ascii="Times New Roman" w:hAnsi="Times New Roman"/>
      <w:i/>
      <w:sz w:val="18"/>
    </w:rPr>
  </w:style>
  <w:style w:type="paragraph" w:customStyle="1" w:styleId="02Author-OE">
    <w:name w:val="02. Author - OE"/>
    <w:basedOn w:val="02Author-BOE"/>
    <w:next w:val="03AuthorAffiliation"/>
    <w:qFormat/>
    <w:rsid w:val="00CE587E"/>
    <w:rPr>
      <w:color w:val="943634"/>
    </w:rPr>
  </w:style>
  <w:style w:type="paragraph" w:styleId="NoSpacing">
    <w:name w:val="No Spacing"/>
    <w:uiPriority w:val="1"/>
    <w:qFormat/>
    <w:rsid w:val="009909E8"/>
    <w:pPr>
      <w:spacing w:after="0" w:line="240" w:lineRule="auto"/>
    </w:pPr>
  </w:style>
  <w:style w:type="paragraph" w:customStyle="1" w:styleId="02Author-OME">
    <w:name w:val="02. Author - OME"/>
    <w:basedOn w:val="02Author-BOE"/>
    <w:next w:val="03AuthorAffiliation"/>
    <w:qFormat/>
    <w:rsid w:val="00416CDD"/>
    <w:rPr>
      <w:color w:val="1478B6"/>
    </w:rPr>
  </w:style>
  <w:style w:type="paragraph" w:customStyle="1" w:styleId="04Email">
    <w:name w:val="04. Email"/>
    <w:basedOn w:val="03AuthorAffiliation"/>
    <w:next w:val="06AbstractBody"/>
    <w:qFormat/>
    <w:rsid w:val="00416CDD"/>
    <w:rPr>
      <w:color w:val="2E2EB1"/>
    </w:rPr>
  </w:style>
  <w:style w:type="paragraph" w:customStyle="1" w:styleId="23ReferenceSectionHeader">
    <w:name w:val="23. Reference Section Header"/>
    <w:next w:val="24References"/>
    <w:qFormat/>
    <w:rsid w:val="007F35CC"/>
    <w:pPr>
      <w:spacing w:before="120" w:after="120" w:line="240" w:lineRule="auto"/>
    </w:pPr>
    <w:rPr>
      <w:rFonts w:ascii="Arial" w:hAnsi="Arial"/>
      <w:b/>
      <w:sz w:val="20"/>
    </w:rPr>
  </w:style>
  <w:style w:type="paragraph" w:customStyle="1" w:styleId="06AbstractBody">
    <w:name w:val="06. Abstract Body"/>
    <w:next w:val="07Copyright"/>
    <w:link w:val="06AbstractBodyChar"/>
    <w:qFormat/>
    <w:rsid w:val="00BF64A9"/>
    <w:pPr>
      <w:spacing w:before="240" w:after="0" w:line="240" w:lineRule="auto"/>
      <w:jc w:val="both"/>
    </w:pPr>
    <w:rPr>
      <w:rFonts w:ascii="Times New Roman" w:hAnsi="Times New Roman"/>
      <w:color w:val="000000" w:themeColor="text1"/>
      <w:sz w:val="20"/>
    </w:rPr>
  </w:style>
  <w:style w:type="paragraph" w:customStyle="1" w:styleId="07Copyright">
    <w:name w:val="07. Copyright"/>
    <w:basedOn w:val="06AbstractBody"/>
    <w:next w:val="08SectionHeader1"/>
    <w:qFormat/>
    <w:rsid w:val="0036209C"/>
    <w:pPr>
      <w:spacing w:after="240"/>
    </w:pPr>
    <w:rPr>
      <w:rFonts w:ascii="Arial" w:hAnsi="Arial"/>
      <w:sz w:val="16"/>
    </w:rPr>
  </w:style>
  <w:style w:type="paragraph" w:customStyle="1" w:styleId="24References">
    <w:name w:val="24. References"/>
    <w:qFormat/>
    <w:rsid w:val="00C90584"/>
    <w:pPr>
      <w:numPr>
        <w:numId w:val="1"/>
      </w:numPr>
      <w:spacing w:after="0" w:line="240" w:lineRule="auto"/>
    </w:pPr>
    <w:rPr>
      <w:rFonts w:ascii="Times New Roman" w:hAnsi="Times New Roman"/>
      <w:sz w:val="16"/>
    </w:rPr>
  </w:style>
  <w:style w:type="paragraph" w:customStyle="1" w:styleId="08SectionHeader1">
    <w:name w:val="08 Section Header 1"/>
    <w:next w:val="09BodyFirstParagraph"/>
    <w:qFormat/>
    <w:rsid w:val="00BF64A9"/>
    <w:pPr>
      <w:numPr>
        <w:numId w:val="5"/>
      </w:numPr>
      <w:spacing w:before="120" w:after="0" w:line="240" w:lineRule="auto"/>
    </w:pPr>
    <w:rPr>
      <w:rFonts w:ascii="Arial" w:hAnsi="Arial"/>
      <w:b/>
      <w:sz w:val="20"/>
    </w:rPr>
  </w:style>
  <w:style w:type="paragraph" w:customStyle="1" w:styleId="09BodyFirstParagraph">
    <w:name w:val="09. Body First Paragraph"/>
    <w:basedOn w:val="06AbstractBody"/>
    <w:next w:val="10BodySubsequentParagraph"/>
    <w:link w:val="09BodyFirstParagraphChar"/>
    <w:qFormat/>
    <w:rsid w:val="00BF64A9"/>
    <w:pPr>
      <w:spacing w:before="120"/>
    </w:pPr>
  </w:style>
  <w:style w:type="paragraph" w:customStyle="1" w:styleId="08SectionHeader2">
    <w:name w:val="08. Section Header 2"/>
    <w:basedOn w:val="08SectionHeader1"/>
    <w:next w:val="09BodyFirstParagraph"/>
    <w:qFormat/>
    <w:rsid w:val="00A568B6"/>
    <w:pPr>
      <w:numPr>
        <w:numId w:val="0"/>
      </w:numPr>
    </w:pPr>
    <w:rPr>
      <w:b w:val="0"/>
      <w:i/>
    </w:rPr>
  </w:style>
  <w:style w:type="character" w:styleId="CommentReference">
    <w:name w:val="annotation reference"/>
    <w:basedOn w:val="DefaultParagraphFont"/>
    <w:uiPriority w:val="99"/>
    <w:semiHidden/>
    <w:unhideWhenUsed/>
    <w:rsid w:val="005A33E2"/>
    <w:rPr>
      <w:sz w:val="16"/>
      <w:szCs w:val="16"/>
    </w:rPr>
  </w:style>
  <w:style w:type="paragraph" w:styleId="CommentText">
    <w:name w:val="annotation text"/>
    <w:basedOn w:val="Normal"/>
    <w:link w:val="CommentTextChar"/>
    <w:uiPriority w:val="99"/>
    <w:semiHidden/>
    <w:unhideWhenUsed/>
    <w:rsid w:val="005A33E2"/>
    <w:pPr>
      <w:spacing w:line="240" w:lineRule="auto"/>
    </w:pPr>
    <w:rPr>
      <w:sz w:val="20"/>
      <w:szCs w:val="20"/>
    </w:rPr>
  </w:style>
  <w:style w:type="character" w:customStyle="1" w:styleId="CommentTextChar">
    <w:name w:val="Comment Text Char"/>
    <w:basedOn w:val="DefaultParagraphFont"/>
    <w:link w:val="CommentText"/>
    <w:uiPriority w:val="99"/>
    <w:semiHidden/>
    <w:rsid w:val="005A33E2"/>
    <w:rPr>
      <w:sz w:val="20"/>
      <w:szCs w:val="20"/>
    </w:rPr>
  </w:style>
  <w:style w:type="paragraph" w:styleId="CommentSubject">
    <w:name w:val="annotation subject"/>
    <w:basedOn w:val="CommentText"/>
    <w:next w:val="CommentText"/>
    <w:link w:val="CommentSubjectChar"/>
    <w:uiPriority w:val="99"/>
    <w:semiHidden/>
    <w:unhideWhenUsed/>
    <w:rsid w:val="005A33E2"/>
    <w:rPr>
      <w:b/>
      <w:bCs/>
    </w:rPr>
  </w:style>
  <w:style w:type="character" w:customStyle="1" w:styleId="CommentSubjectChar">
    <w:name w:val="Comment Subject Char"/>
    <w:basedOn w:val="CommentTextChar"/>
    <w:link w:val="CommentSubject"/>
    <w:uiPriority w:val="99"/>
    <w:semiHidden/>
    <w:rsid w:val="005A33E2"/>
    <w:rPr>
      <w:b/>
      <w:bCs/>
      <w:sz w:val="20"/>
      <w:szCs w:val="20"/>
    </w:rPr>
  </w:style>
  <w:style w:type="paragraph" w:styleId="BalloonText">
    <w:name w:val="Balloon Text"/>
    <w:basedOn w:val="Normal"/>
    <w:link w:val="BalloonTextChar"/>
    <w:semiHidden/>
    <w:unhideWhenUsed/>
    <w:rsid w:val="005A33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3E2"/>
    <w:rPr>
      <w:rFonts w:ascii="Tahoma" w:hAnsi="Tahoma" w:cs="Tahoma"/>
      <w:sz w:val="16"/>
      <w:szCs w:val="16"/>
    </w:rPr>
  </w:style>
  <w:style w:type="paragraph" w:customStyle="1" w:styleId="08SectionHeader3">
    <w:name w:val="08. Section Header 3"/>
    <w:basedOn w:val="08SectionHeader2"/>
    <w:next w:val="09BodyFirstParagraph"/>
    <w:qFormat/>
    <w:rsid w:val="005A33E2"/>
    <w:rPr>
      <w:i w:val="0"/>
    </w:rPr>
  </w:style>
  <w:style w:type="paragraph" w:customStyle="1" w:styleId="20FundingSectionHeader">
    <w:name w:val="20. Funding Section Header"/>
    <w:basedOn w:val="08SectionHeader1"/>
    <w:next w:val="09BodyFirstParagraph"/>
    <w:qFormat/>
    <w:rsid w:val="00A55B30"/>
    <w:pPr>
      <w:numPr>
        <w:numId w:val="0"/>
      </w:numPr>
      <w:spacing w:after="120"/>
      <w:ind w:left="360" w:hanging="360"/>
    </w:pPr>
  </w:style>
  <w:style w:type="paragraph" w:customStyle="1" w:styleId="21AcknowledgmentsSectionHeader">
    <w:name w:val="21. Acknowledgments Section Header"/>
    <w:basedOn w:val="20FundingSectionHeader"/>
    <w:next w:val="09BodyFirstParagraph"/>
    <w:qFormat/>
    <w:rsid w:val="00A55B30"/>
  </w:style>
  <w:style w:type="paragraph" w:customStyle="1" w:styleId="12FigureCaptionShort">
    <w:name w:val="12. Figure Caption Short"/>
    <w:basedOn w:val="09BodyFirstParagraph"/>
    <w:next w:val="10BodySubsequentParagraph"/>
    <w:qFormat/>
    <w:rsid w:val="00FD5E0D"/>
    <w:pPr>
      <w:spacing w:after="120"/>
      <w:ind w:left="720" w:right="720"/>
      <w:jc w:val="center"/>
    </w:pPr>
    <w:rPr>
      <w:sz w:val="16"/>
    </w:rPr>
  </w:style>
  <w:style w:type="paragraph" w:customStyle="1" w:styleId="12FigureCaptionLong">
    <w:name w:val="12. Figure Caption Long"/>
    <w:basedOn w:val="12FigureCaptionShort"/>
    <w:next w:val="10BodySubsequentParagraph"/>
    <w:qFormat/>
    <w:rsid w:val="00FD5E0D"/>
    <w:pPr>
      <w:jc w:val="both"/>
    </w:pPr>
  </w:style>
  <w:style w:type="paragraph" w:customStyle="1" w:styleId="14TableCaption">
    <w:name w:val="14. Table Caption"/>
    <w:basedOn w:val="09BodyFirstParagraph"/>
    <w:next w:val="15TableBody"/>
    <w:qFormat/>
    <w:rsid w:val="0048331C"/>
    <w:pPr>
      <w:spacing w:before="240" w:after="160"/>
      <w:jc w:val="center"/>
    </w:pPr>
    <w:rPr>
      <w:b/>
      <w:sz w:val="16"/>
    </w:rPr>
  </w:style>
  <w:style w:type="paragraph" w:customStyle="1" w:styleId="13Equation">
    <w:name w:val="13. Equation"/>
    <w:basedOn w:val="10BodySubsequentParagraph"/>
    <w:next w:val="10BodySubsequentParagraph"/>
    <w:link w:val="13EquationChar"/>
    <w:qFormat/>
    <w:rsid w:val="00176184"/>
    <w:pPr>
      <w:tabs>
        <w:tab w:val="center" w:pos="4320"/>
        <w:tab w:val="right" w:pos="7560"/>
      </w:tabs>
      <w:spacing w:before="120"/>
      <w:ind w:firstLine="0"/>
      <w:jc w:val="left"/>
    </w:pPr>
  </w:style>
  <w:style w:type="paragraph" w:customStyle="1" w:styleId="16TableFootnote">
    <w:name w:val="16. Table Footnote"/>
    <w:basedOn w:val="09BodyFirstParagraph"/>
    <w:next w:val="10BodySubsequentParagraph"/>
    <w:rsid w:val="00432E94"/>
    <w:pPr>
      <w:spacing w:after="120"/>
    </w:pPr>
    <w:rPr>
      <w:sz w:val="16"/>
    </w:rPr>
  </w:style>
  <w:style w:type="paragraph" w:customStyle="1" w:styleId="15TableBody">
    <w:name w:val="15. Table Body"/>
    <w:basedOn w:val="09BodyFirstParagraph"/>
    <w:next w:val="10BodySubsequentParagraph"/>
    <w:qFormat/>
    <w:rsid w:val="0048331C"/>
    <w:pPr>
      <w:spacing w:before="0" w:after="80"/>
    </w:pPr>
    <w:rPr>
      <w:sz w:val="16"/>
    </w:rPr>
  </w:style>
  <w:style w:type="paragraph" w:customStyle="1" w:styleId="19ListNumber1">
    <w:name w:val="19. List Number 1"/>
    <w:basedOn w:val="10BodySubsequentParagraph"/>
    <w:rsid w:val="00FC5DCC"/>
    <w:pPr>
      <w:numPr>
        <w:numId w:val="7"/>
      </w:numPr>
      <w:spacing w:before="120"/>
    </w:pPr>
  </w:style>
  <w:style w:type="paragraph" w:customStyle="1" w:styleId="05WebAddress">
    <w:name w:val="05. Web Address"/>
    <w:basedOn w:val="04Email"/>
    <w:next w:val="06AbstractBody"/>
    <w:rsid w:val="00CB0396"/>
  </w:style>
  <w:style w:type="paragraph" w:customStyle="1" w:styleId="11Figure">
    <w:name w:val="11. Figure"/>
    <w:basedOn w:val="09BodyFirstParagraph"/>
    <w:next w:val="12FigureCaptionLong"/>
    <w:qFormat/>
    <w:rsid w:val="00FD5E0D"/>
    <w:pPr>
      <w:jc w:val="center"/>
    </w:pPr>
    <w:rPr>
      <w:sz w:val="16"/>
    </w:rPr>
  </w:style>
  <w:style w:type="paragraph" w:customStyle="1" w:styleId="19ListNumber2">
    <w:name w:val="19. List Number 2"/>
    <w:basedOn w:val="19ListNumber1"/>
    <w:rsid w:val="00EC0262"/>
    <w:pPr>
      <w:numPr>
        <w:numId w:val="8"/>
      </w:numPr>
    </w:pPr>
  </w:style>
  <w:style w:type="paragraph" w:customStyle="1" w:styleId="18ListUnnumbered">
    <w:name w:val="18. List Unnumbered"/>
    <w:basedOn w:val="19ListNumber1"/>
    <w:rsid w:val="00062D82"/>
    <w:pPr>
      <w:numPr>
        <w:numId w:val="0"/>
      </w:numPr>
      <w:ind w:left="360"/>
    </w:pPr>
  </w:style>
  <w:style w:type="paragraph" w:customStyle="1" w:styleId="17ListBulleted">
    <w:name w:val="17. List Bulleted"/>
    <w:basedOn w:val="18ListUnnumbered"/>
    <w:rsid w:val="00A035D7"/>
    <w:pPr>
      <w:numPr>
        <w:numId w:val="9"/>
      </w:numPr>
    </w:pPr>
  </w:style>
  <w:style w:type="paragraph" w:customStyle="1" w:styleId="02Author-AO">
    <w:name w:val="02. Author - AO"/>
    <w:basedOn w:val="02Author-BOE"/>
    <w:next w:val="03AuthorAffiliation"/>
    <w:qFormat/>
    <w:rsid w:val="005F4008"/>
    <w:rPr>
      <w:color w:val="26428F"/>
    </w:rPr>
  </w:style>
  <w:style w:type="paragraph" w:customStyle="1" w:styleId="02Author-JOSAA">
    <w:name w:val="02. Author - JOSAA"/>
    <w:basedOn w:val="02Author-AO"/>
    <w:next w:val="03AuthorAffiliation"/>
    <w:qFormat/>
    <w:rsid w:val="005F4008"/>
    <w:rPr>
      <w:color w:val="4C265B"/>
    </w:rPr>
  </w:style>
  <w:style w:type="paragraph" w:customStyle="1" w:styleId="02Author-JOSAB">
    <w:name w:val="02. Author - JOSAB"/>
    <w:basedOn w:val="02Author-JOSAA"/>
    <w:next w:val="03AuthorAffiliation"/>
    <w:qFormat/>
    <w:rsid w:val="005F4008"/>
    <w:rPr>
      <w:color w:val="16A14C"/>
    </w:rPr>
  </w:style>
  <w:style w:type="paragraph" w:customStyle="1" w:styleId="02Author-Optica">
    <w:name w:val="02. Author - Optica"/>
    <w:basedOn w:val="02Author-JOSAA"/>
    <w:next w:val="03AuthorAffiliation"/>
    <w:qFormat/>
    <w:rsid w:val="005F4008"/>
    <w:rPr>
      <w:color w:val="007B4A"/>
    </w:rPr>
  </w:style>
  <w:style w:type="paragraph" w:customStyle="1" w:styleId="02Author-OL">
    <w:name w:val="02. Author - OL"/>
    <w:basedOn w:val="02Author-Optica"/>
    <w:next w:val="03AuthorAffiliation"/>
    <w:qFormat/>
    <w:rsid w:val="005F4008"/>
    <w:rPr>
      <w:color w:val="254982"/>
    </w:rPr>
  </w:style>
  <w:style w:type="paragraph" w:customStyle="1" w:styleId="22DisclosuresSectionHeader">
    <w:name w:val="22. Disclosures Section Header"/>
    <w:basedOn w:val="21AcknowledgmentsSectionHeader"/>
    <w:next w:val="09BodyFirstParagraph"/>
    <w:qFormat/>
    <w:rsid w:val="007F35CC"/>
  </w:style>
  <w:style w:type="character" w:customStyle="1" w:styleId="Heading1Char">
    <w:name w:val="Heading 1 Char"/>
    <w:basedOn w:val="DefaultParagraphFont"/>
    <w:link w:val="Heading1"/>
    <w:uiPriority w:val="9"/>
    <w:rsid w:val="006270B3"/>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497360"/>
    <w:rPr>
      <w:color w:val="0000FF" w:themeColor="hyperlink"/>
      <w:u w:val="single"/>
    </w:rPr>
  </w:style>
  <w:style w:type="paragraph" w:customStyle="1" w:styleId="08SectionHeader10">
    <w:name w:val="08. Section Header 1"/>
    <w:next w:val="09BodyFirstParagraph"/>
    <w:qFormat/>
    <w:rsid w:val="00497360"/>
    <w:pPr>
      <w:spacing w:before="120" w:after="0" w:line="240" w:lineRule="auto"/>
      <w:ind w:left="360" w:hanging="360"/>
    </w:pPr>
    <w:rPr>
      <w:rFonts w:ascii="Arial" w:hAnsi="Arial"/>
      <w:b/>
      <w:sz w:val="20"/>
    </w:rPr>
  </w:style>
  <w:style w:type="table" w:styleId="TableGrid">
    <w:name w:val="Table Grid"/>
    <w:basedOn w:val="TableNormal"/>
    <w:uiPriority w:val="39"/>
    <w:rsid w:val="009941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Author-AOP">
    <w:name w:val="02. Author - AOP"/>
    <w:basedOn w:val="02Author-AO"/>
    <w:rsid w:val="00092896"/>
    <w:rPr>
      <w:color w:val="8F043A"/>
    </w:rPr>
  </w:style>
  <w:style w:type="paragraph" w:customStyle="1" w:styleId="02Author-PRJ">
    <w:name w:val="02. Author - PRJ"/>
    <w:basedOn w:val="02Author-Optica"/>
    <w:rsid w:val="00BD2F0B"/>
    <w:rPr>
      <w:color w:val="7E2C2E"/>
    </w:rPr>
  </w:style>
  <w:style w:type="paragraph" w:customStyle="1" w:styleId="02Author">
    <w:name w:val="02. Author"/>
    <w:basedOn w:val="02Author-AO"/>
    <w:next w:val="03AuthorAffiliation"/>
    <w:rsid w:val="00974BEF"/>
    <w:rPr>
      <w:color w:val="595959" w:themeColor="text1" w:themeTint="A6"/>
    </w:rPr>
  </w:style>
  <w:style w:type="paragraph" w:customStyle="1" w:styleId="02Author-OSAC">
    <w:name w:val="02. Author - OSAC"/>
    <w:basedOn w:val="02Author-OME"/>
    <w:next w:val="03AuthorAffiliation"/>
    <w:rsid w:val="00D07434"/>
    <w:rPr>
      <w:color w:val="006E90"/>
    </w:rPr>
  </w:style>
  <w:style w:type="paragraph" w:customStyle="1" w:styleId="MTDisplayEquation">
    <w:name w:val="MTDisplayEquation"/>
    <w:basedOn w:val="13Equation"/>
    <w:next w:val="Normal"/>
    <w:link w:val="MTDisplayEquationChar"/>
    <w:rsid w:val="00C1651A"/>
    <w:pPr>
      <w:tabs>
        <w:tab w:val="clear" w:pos="4320"/>
        <w:tab w:val="clear" w:pos="7560"/>
        <w:tab w:val="center" w:pos="3760"/>
        <w:tab w:val="right" w:pos="7540"/>
      </w:tabs>
    </w:pPr>
  </w:style>
  <w:style w:type="character" w:customStyle="1" w:styleId="06AbstractBodyChar">
    <w:name w:val="06. Abstract Body Char"/>
    <w:basedOn w:val="DefaultParagraphFont"/>
    <w:link w:val="06AbstractBody"/>
    <w:rsid w:val="00C1651A"/>
    <w:rPr>
      <w:rFonts w:ascii="Times New Roman" w:hAnsi="Times New Roman"/>
      <w:color w:val="000000" w:themeColor="text1"/>
      <w:sz w:val="20"/>
    </w:rPr>
  </w:style>
  <w:style w:type="character" w:customStyle="1" w:styleId="09BodyFirstParagraphChar">
    <w:name w:val="09. Body First Paragraph Char"/>
    <w:basedOn w:val="06AbstractBodyChar"/>
    <w:link w:val="09BodyFirstParagraph"/>
    <w:rsid w:val="00C1651A"/>
    <w:rPr>
      <w:rFonts w:ascii="Times New Roman" w:hAnsi="Times New Roman"/>
      <w:color w:val="000000" w:themeColor="text1"/>
      <w:sz w:val="20"/>
    </w:rPr>
  </w:style>
  <w:style w:type="character" w:customStyle="1" w:styleId="10BodySubsequentParagraphChar">
    <w:name w:val="10. Body Subsequent Paragraph Char"/>
    <w:basedOn w:val="09BodyFirstParagraphChar"/>
    <w:link w:val="10BodySubsequentParagraph"/>
    <w:rsid w:val="00C1651A"/>
    <w:rPr>
      <w:rFonts w:ascii="Times New Roman" w:hAnsi="Times New Roman"/>
      <w:color w:val="000000" w:themeColor="text1"/>
      <w:sz w:val="20"/>
    </w:rPr>
  </w:style>
  <w:style w:type="character" w:customStyle="1" w:styleId="13EquationChar">
    <w:name w:val="13. Equation Char"/>
    <w:basedOn w:val="10BodySubsequentParagraphChar"/>
    <w:link w:val="13Equation"/>
    <w:rsid w:val="00C1651A"/>
    <w:rPr>
      <w:rFonts w:ascii="Times New Roman" w:hAnsi="Times New Roman"/>
      <w:color w:val="000000" w:themeColor="text1"/>
      <w:sz w:val="20"/>
    </w:rPr>
  </w:style>
  <w:style w:type="character" w:customStyle="1" w:styleId="MTDisplayEquationChar">
    <w:name w:val="MTDisplayEquation Char"/>
    <w:basedOn w:val="13EquationChar"/>
    <w:link w:val="MTDisplayEquation"/>
    <w:rsid w:val="00C1651A"/>
    <w:rPr>
      <w:rFonts w:ascii="Times New Roman" w:hAnsi="Times New Roman"/>
      <w:color w:val="000000" w:themeColor="text1"/>
      <w:sz w:val="20"/>
    </w:rPr>
  </w:style>
  <w:style w:type="paragraph" w:customStyle="1" w:styleId="BATitle">
    <w:name w:val="BA_Title"/>
    <w:basedOn w:val="Normal"/>
    <w:next w:val="Normal"/>
    <w:rsid w:val="00EC1A15"/>
    <w:pPr>
      <w:spacing w:before="720" w:after="360" w:line="480" w:lineRule="auto"/>
      <w:jc w:val="center"/>
    </w:pPr>
    <w:rPr>
      <w:rFonts w:ascii="Times New Roman" w:hAnsi="Times New Roman" w:cs="Times New Roman"/>
      <w:sz w:val="44"/>
      <w:szCs w:val="20"/>
    </w:rPr>
  </w:style>
  <w:style w:type="character" w:styleId="FollowedHyperlink">
    <w:name w:val="FollowedHyperlink"/>
    <w:rsid w:val="00474C0F"/>
    <w:rPr>
      <w:color w:val="800080"/>
      <w:u w:val="single"/>
    </w:rPr>
  </w:style>
  <w:style w:type="paragraph" w:styleId="BodyText">
    <w:name w:val="Body Text"/>
    <w:basedOn w:val="Normal"/>
    <w:link w:val="BodyTextChar"/>
    <w:rsid w:val="00474C0F"/>
    <w:pPr>
      <w:spacing w:line="240" w:lineRule="auto"/>
      <w:jc w:val="center"/>
    </w:pPr>
    <w:rPr>
      <w:rFonts w:ascii="Times" w:hAnsi="Times" w:cs="Times New Roman"/>
      <w:b/>
      <w:sz w:val="40"/>
      <w:szCs w:val="20"/>
    </w:rPr>
  </w:style>
  <w:style w:type="character" w:customStyle="1" w:styleId="BodyTextChar">
    <w:name w:val="Body Text Char"/>
    <w:basedOn w:val="DefaultParagraphFont"/>
    <w:link w:val="BodyText"/>
    <w:rsid w:val="00474C0F"/>
    <w:rPr>
      <w:rFonts w:ascii="Times" w:hAnsi="Times" w:cs="Times New Roman"/>
      <w:b/>
      <w:sz w:val="40"/>
      <w:szCs w:val="20"/>
    </w:rPr>
  </w:style>
  <w:style w:type="paragraph" w:styleId="FootnoteText">
    <w:name w:val="footnote text"/>
    <w:basedOn w:val="Normal"/>
    <w:next w:val="TFReferencesSection"/>
    <w:link w:val="FootnoteTextChar"/>
    <w:semiHidden/>
    <w:rsid w:val="00474C0F"/>
    <w:pPr>
      <w:spacing w:line="240" w:lineRule="auto"/>
      <w:jc w:val="both"/>
    </w:pPr>
    <w:rPr>
      <w:rFonts w:ascii="Times" w:hAnsi="Times" w:cs="Times New Roman"/>
      <w:sz w:val="24"/>
      <w:szCs w:val="20"/>
    </w:rPr>
  </w:style>
  <w:style w:type="character" w:customStyle="1" w:styleId="FootnoteTextChar">
    <w:name w:val="Footnote Text Char"/>
    <w:basedOn w:val="DefaultParagraphFont"/>
    <w:link w:val="FootnoteText"/>
    <w:semiHidden/>
    <w:rsid w:val="00474C0F"/>
    <w:rPr>
      <w:rFonts w:ascii="Times" w:hAnsi="Times" w:cs="Times New Roman"/>
      <w:sz w:val="24"/>
      <w:szCs w:val="20"/>
    </w:rPr>
  </w:style>
  <w:style w:type="paragraph" w:customStyle="1" w:styleId="TFReferencesSection">
    <w:name w:val="TF_References_Section"/>
    <w:basedOn w:val="Normal"/>
    <w:rsid w:val="00474C0F"/>
    <w:pPr>
      <w:spacing w:line="480" w:lineRule="auto"/>
      <w:ind w:firstLine="187"/>
      <w:jc w:val="both"/>
    </w:pPr>
    <w:rPr>
      <w:rFonts w:ascii="Times" w:hAnsi="Times" w:cs="Times New Roman"/>
      <w:sz w:val="24"/>
      <w:szCs w:val="20"/>
    </w:rPr>
  </w:style>
  <w:style w:type="paragraph" w:customStyle="1" w:styleId="TAMainText">
    <w:name w:val="TA_Main_Text"/>
    <w:basedOn w:val="Normal"/>
    <w:rsid w:val="00474C0F"/>
    <w:pPr>
      <w:spacing w:after="0" w:line="480" w:lineRule="auto"/>
      <w:ind w:firstLine="202"/>
      <w:jc w:val="both"/>
    </w:pPr>
    <w:rPr>
      <w:rFonts w:ascii="Times" w:hAnsi="Times" w:cs="Times New Roman"/>
      <w:sz w:val="24"/>
      <w:szCs w:val="20"/>
    </w:rPr>
  </w:style>
  <w:style w:type="paragraph" w:customStyle="1" w:styleId="BBAuthorName">
    <w:name w:val="BB_Author_Name"/>
    <w:basedOn w:val="Normal"/>
    <w:next w:val="BCAuthorAddress"/>
    <w:rsid w:val="00474C0F"/>
    <w:pPr>
      <w:spacing w:after="240" w:line="480" w:lineRule="auto"/>
      <w:jc w:val="center"/>
    </w:pPr>
    <w:rPr>
      <w:rFonts w:ascii="Times" w:hAnsi="Times" w:cs="Times New Roman"/>
      <w:i/>
      <w:sz w:val="24"/>
      <w:szCs w:val="20"/>
    </w:rPr>
  </w:style>
  <w:style w:type="paragraph" w:customStyle="1" w:styleId="BCAuthorAddress">
    <w:name w:val="BC_Author_Address"/>
    <w:basedOn w:val="Normal"/>
    <w:next w:val="BIEmailAddress"/>
    <w:rsid w:val="00474C0F"/>
    <w:pPr>
      <w:spacing w:after="240" w:line="480" w:lineRule="auto"/>
      <w:jc w:val="center"/>
    </w:pPr>
    <w:rPr>
      <w:rFonts w:ascii="Times" w:hAnsi="Times" w:cs="Times New Roman"/>
      <w:sz w:val="24"/>
      <w:szCs w:val="20"/>
    </w:rPr>
  </w:style>
  <w:style w:type="paragraph" w:customStyle="1" w:styleId="BIEmailAddress">
    <w:name w:val="BI_Email_Address"/>
    <w:basedOn w:val="Normal"/>
    <w:next w:val="AIReceivedDate"/>
    <w:rsid w:val="00474C0F"/>
    <w:pPr>
      <w:spacing w:line="480" w:lineRule="auto"/>
      <w:jc w:val="both"/>
    </w:pPr>
    <w:rPr>
      <w:rFonts w:ascii="Times" w:hAnsi="Times" w:cs="Times New Roman"/>
      <w:sz w:val="24"/>
      <w:szCs w:val="20"/>
    </w:rPr>
  </w:style>
  <w:style w:type="paragraph" w:customStyle="1" w:styleId="AIReceivedDate">
    <w:name w:val="AI_Received_Date"/>
    <w:basedOn w:val="Normal"/>
    <w:next w:val="BDAbstract"/>
    <w:rsid w:val="00474C0F"/>
    <w:pPr>
      <w:spacing w:after="240" w:line="480" w:lineRule="auto"/>
      <w:jc w:val="both"/>
    </w:pPr>
    <w:rPr>
      <w:rFonts w:ascii="Times" w:hAnsi="Times" w:cs="Times New Roman"/>
      <w:b/>
      <w:sz w:val="24"/>
      <w:szCs w:val="20"/>
    </w:rPr>
  </w:style>
  <w:style w:type="paragraph" w:customStyle="1" w:styleId="BDAbstract">
    <w:name w:val="BD_Abstract"/>
    <w:basedOn w:val="Normal"/>
    <w:next w:val="TAMainText"/>
    <w:rsid w:val="00474C0F"/>
    <w:pPr>
      <w:spacing w:before="360" w:after="360" w:line="480" w:lineRule="auto"/>
      <w:jc w:val="both"/>
    </w:pPr>
    <w:rPr>
      <w:rFonts w:ascii="Times" w:hAnsi="Times" w:cs="Times New Roman"/>
      <w:sz w:val="24"/>
      <w:szCs w:val="20"/>
    </w:rPr>
  </w:style>
  <w:style w:type="paragraph" w:customStyle="1" w:styleId="TDAcknowledgments">
    <w:name w:val="TD_Acknowledgments"/>
    <w:basedOn w:val="Normal"/>
    <w:next w:val="Normal"/>
    <w:rsid w:val="00474C0F"/>
    <w:pPr>
      <w:spacing w:before="200" w:line="480" w:lineRule="auto"/>
      <w:ind w:firstLine="202"/>
      <w:jc w:val="both"/>
    </w:pPr>
    <w:rPr>
      <w:rFonts w:ascii="Times" w:hAnsi="Times" w:cs="Times New Roman"/>
      <w:sz w:val="24"/>
      <w:szCs w:val="20"/>
    </w:rPr>
  </w:style>
  <w:style w:type="paragraph" w:customStyle="1" w:styleId="TESupportingInformation">
    <w:name w:val="TE_Supporting_Information"/>
    <w:basedOn w:val="Normal"/>
    <w:next w:val="Normal"/>
    <w:rsid w:val="00474C0F"/>
    <w:pPr>
      <w:spacing w:line="480" w:lineRule="auto"/>
      <w:ind w:firstLine="187"/>
      <w:jc w:val="both"/>
    </w:pPr>
    <w:rPr>
      <w:rFonts w:ascii="Times" w:hAnsi="Times" w:cs="Times New Roman"/>
      <w:sz w:val="24"/>
      <w:szCs w:val="20"/>
    </w:rPr>
  </w:style>
  <w:style w:type="paragraph" w:customStyle="1" w:styleId="VCSchemeTitle">
    <w:name w:val="VC_Scheme_Title"/>
    <w:basedOn w:val="Normal"/>
    <w:next w:val="Normal"/>
    <w:rsid w:val="00474C0F"/>
    <w:pPr>
      <w:spacing w:line="480" w:lineRule="auto"/>
      <w:jc w:val="both"/>
    </w:pPr>
    <w:rPr>
      <w:rFonts w:ascii="Times" w:hAnsi="Times" w:cs="Times New Roman"/>
      <w:sz w:val="24"/>
      <w:szCs w:val="20"/>
    </w:rPr>
  </w:style>
  <w:style w:type="paragraph" w:customStyle="1" w:styleId="VDTableTitle">
    <w:name w:val="VD_Table_Title"/>
    <w:basedOn w:val="Normal"/>
    <w:next w:val="Normal"/>
    <w:rsid w:val="00474C0F"/>
    <w:pPr>
      <w:spacing w:line="480" w:lineRule="auto"/>
      <w:jc w:val="both"/>
    </w:pPr>
    <w:rPr>
      <w:rFonts w:ascii="Times" w:hAnsi="Times" w:cs="Times New Roman"/>
      <w:sz w:val="24"/>
      <w:szCs w:val="20"/>
    </w:rPr>
  </w:style>
  <w:style w:type="paragraph" w:customStyle="1" w:styleId="VAFigureCaption">
    <w:name w:val="VA_Figure_Caption"/>
    <w:basedOn w:val="Normal"/>
    <w:next w:val="Normal"/>
    <w:rsid w:val="00474C0F"/>
    <w:pPr>
      <w:spacing w:line="480" w:lineRule="auto"/>
      <w:jc w:val="both"/>
    </w:pPr>
    <w:rPr>
      <w:rFonts w:ascii="Times" w:hAnsi="Times" w:cs="Times New Roman"/>
      <w:sz w:val="24"/>
      <w:szCs w:val="20"/>
    </w:rPr>
  </w:style>
  <w:style w:type="paragraph" w:customStyle="1" w:styleId="VBChartTitle">
    <w:name w:val="VB_Chart_Title"/>
    <w:basedOn w:val="Normal"/>
    <w:next w:val="Normal"/>
    <w:rsid w:val="00474C0F"/>
    <w:pPr>
      <w:spacing w:line="480" w:lineRule="auto"/>
      <w:jc w:val="both"/>
    </w:pPr>
    <w:rPr>
      <w:rFonts w:ascii="Times" w:hAnsi="Times" w:cs="Times New Roman"/>
      <w:sz w:val="24"/>
      <w:szCs w:val="20"/>
    </w:rPr>
  </w:style>
  <w:style w:type="paragraph" w:customStyle="1" w:styleId="FETableFootnote">
    <w:name w:val="FE_Table_Footnote"/>
    <w:basedOn w:val="Normal"/>
    <w:next w:val="Normal"/>
    <w:rsid w:val="00474C0F"/>
    <w:pPr>
      <w:spacing w:line="240" w:lineRule="auto"/>
      <w:ind w:firstLine="187"/>
      <w:jc w:val="both"/>
    </w:pPr>
    <w:rPr>
      <w:rFonts w:ascii="Times" w:hAnsi="Times" w:cs="Times New Roman"/>
      <w:sz w:val="24"/>
      <w:szCs w:val="20"/>
    </w:rPr>
  </w:style>
  <w:style w:type="paragraph" w:customStyle="1" w:styleId="FCChartFootnote">
    <w:name w:val="FC_Chart_Footnote"/>
    <w:basedOn w:val="Normal"/>
    <w:next w:val="Normal"/>
    <w:rsid w:val="00474C0F"/>
    <w:pPr>
      <w:spacing w:line="240" w:lineRule="auto"/>
      <w:ind w:firstLine="187"/>
      <w:jc w:val="both"/>
    </w:pPr>
    <w:rPr>
      <w:rFonts w:ascii="Times" w:hAnsi="Times" w:cs="Times New Roman"/>
      <w:sz w:val="24"/>
      <w:szCs w:val="20"/>
    </w:rPr>
  </w:style>
  <w:style w:type="paragraph" w:customStyle="1" w:styleId="FDSchemeFootnote">
    <w:name w:val="FD_Scheme_Footnote"/>
    <w:basedOn w:val="Normal"/>
    <w:next w:val="Normal"/>
    <w:rsid w:val="00474C0F"/>
    <w:pPr>
      <w:spacing w:line="240" w:lineRule="auto"/>
      <w:ind w:firstLine="187"/>
      <w:jc w:val="both"/>
    </w:pPr>
    <w:rPr>
      <w:rFonts w:ascii="Times" w:hAnsi="Times" w:cs="Times New Roman"/>
      <w:sz w:val="24"/>
      <w:szCs w:val="20"/>
    </w:rPr>
  </w:style>
  <w:style w:type="paragraph" w:customStyle="1" w:styleId="TCTableBody">
    <w:name w:val="TC_Table_Body"/>
    <w:basedOn w:val="Normal"/>
    <w:rsid w:val="00474C0F"/>
    <w:pPr>
      <w:spacing w:line="240" w:lineRule="auto"/>
      <w:jc w:val="both"/>
    </w:pPr>
    <w:rPr>
      <w:rFonts w:ascii="Times" w:hAnsi="Times" w:cs="Times New Roman"/>
      <w:sz w:val="24"/>
      <w:szCs w:val="20"/>
    </w:rPr>
  </w:style>
  <w:style w:type="paragraph" w:customStyle="1" w:styleId="AFTitleRunningHead">
    <w:name w:val="AF_Title_Running_Head"/>
    <w:basedOn w:val="Normal"/>
    <w:next w:val="TAMainText"/>
    <w:rsid w:val="00474C0F"/>
    <w:pPr>
      <w:spacing w:line="480" w:lineRule="auto"/>
      <w:jc w:val="both"/>
    </w:pPr>
    <w:rPr>
      <w:rFonts w:ascii="Times" w:hAnsi="Times" w:cs="Times New Roman"/>
      <w:sz w:val="24"/>
      <w:szCs w:val="20"/>
    </w:rPr>
  </w:style>
  <w:style w:type="paragraph" w:customStyle="1" w:styleId="BEAuthorBiography">
    <w:name w:val="BE_Author_Biography"/>
    <w:basedOn w:val="Normal"/>
    <w:rsid w:val="00474C0F"/>
    <w:pPr>
      <w:spacing w:line="480" w:lineRule="auto"/>
      <w:jc w:val="both"/>
    </w:pPr>
    <w:rPr>
      <w:rFonts w:ascii="Times" w:hAnsi="Times" w:cs="Times New Roman"/>
      <w:sz w:val="24"/>
      <w:szCs w:val="20"/>
    </w:rPr>
  </w:style>
  <w:style w:type="paragraph" w:customStyle="1" w:styleId="FACorrespondingAuthorFootnote">
    <w:name w:val="FA_Corresponding_Author_Footnote"/>
    <w:basedOn w:val="Normal"/>
    <w:next w:val="TAMainText"/>
    <w:rsid w:val="00474C0F"/>
    <w:pPr>
      <w:spacing w:line="480" w:lineRule="auto"/>
      <w:jc w:val="both"/>
    </w:pPr>
    <w:rPr>
      <w:rFonts w:ascii="Times" w:hAnsi="Times" w:cs="Times New Roman"/>
      <w:sz w:val="24"/>
      <w:szCs w:val="20"/>
    </w:rPr>
  </w:style>
  <w:style w:type="paragraph" w:customStyle="1" w:styleId="SNSynopsisTOC">
    <w:name w:val="SN_Synopsis_TOC"/>
    <w:basedOn w:val="Normal"/>
    <w:rsid w:val="00474C0F"/>
    <w:pPr>
      <w:spacing w:line="480" w:lineRule="auto"/>
      <w:jc w:val="both"/>
    </w:pPr>
    <w:rPr>
      <w:rFonts w:ascii="Times" w:hAnsi="Times" w:cs="Times New Roman"/>
      <w:sz w:val="24"/>
      <w:szCs w:val="20"/>
    </w:rPr>
  </w:style>
  <w:style w:type="paragraph" w:styleId="Footer">
    <w:name w:val="footer"/>
    <w:basedOn w:val="Normal"/>
    <w:link w:val="FooterChar"/>
    <w:uiPriority w:val="99"/>
    <w:rsid w:val="00474C0F"/>
    <w:pPr>
      <w:tabs>
        <w:tab w:val="center" w:pos="4320"/>
        <w:tab w:val="right" w:pos="8640"/>
      </w:tabs>
      <w:spacing w:line="240" w:lineRule="auto"/>
      <w:jc w:val="both"/>
    </w:pPr>
    <w:rPr>
      <w:rFonts w:ascii="Times" w:hAnsi="Times" w:cs="Times New Roman"/>
      <w:sz w:val="24"/>
      <w:szCs w:val="20"/>
    </w:rPr>
  </w:style>
  <w:style w:type="character" w:customStyle="1" w:styleId="FooterChar">
    <w:name w:val="Footer Char"/>
    <w:basedOn w:val="DefaultParagraphFont"/>
    <w:link w:val="Footer"/>
    <w:uiPriority w:val="99"/>
    <w:rsid w:val="00474C0F"/>
    <w:rPr>
      <w:rFonts w:ascii="Times" w:hAnsi="Times" w:cs="Times New Roman"/>
      <w:sz w:val="24"/>
      <w:szCs w:val="20"/>
    </w:rPr>
  </w:style>
  <w:style w:type="paragraph" w:customStyle="1" w:styleId="BGKeywords">
    <w:name w:val="BG_Keywords"/>
    <w:basedOn w:val="Normal"/>
    <w:rsid w:val="00474C0F"/>
    <w:pPr>
      <w:spacing w:line="480" w:lineRule="auto"/>
      <w:jc w:val="both"/>
    </w:pPr>
    <w:rPr>
      <w:rFonts w:ascii="Times" w:hAnsi="Times" w:cs="Times New Roman"/>
      <w:sz w:val="24"/>
      <w:szCs w:val="20"/>
    </w:rPr>
  </w:style>
  <w:style w:type="paragraph" w:customStyle="1" w:styleId="BHBriefs">
    <w:name w:val="BH_Briefs"/>
    <w:basedOn w:val="Normal"/>
    <w:rsid w:val="00474C0F"/>
    <w:pPr>
      <w:spacing w:line="480" w:lineRule="auto"/>
      <w:jc w:val="both"/>
    </w:pPr>
    <w:rPr>
      <w:rFonts w:ascii="Times" w:hAnsi="Times" w:cs="Times New Roman"/>
      <w:sz w:val="24"/>
      <w:szCs w:val="20"/>
    </w:rPr>
  </w:style>
  <w:style w:type="character" w:styleId="PageNumber">
    <w:name w:val="page number"/>
    <w:basedOn w:val="DefaultParagraphFont"/>
    <w:rsid w:val="00474C0F"/>
  </w:style>
  <w:style w:type="paragraph" w:customStyle="1" w:styleId="StyleFACorrespondingAuthorFootnote7pt">
    <w:name w:val="Style FA_Corresponding_Author_Footnote + 7 pt"/>
    <w:basedOn w:val="Normal"/>
    <w:next w:val="BGKeywords"/>
    <w:link w:val="StyleFACorrespondingAuthorFootnote7ptChar"/>
    <w:autoRedefine/>
    <w:rsid w:val="00474C0F"/>
    <w:pPr>
      <w:spacing w:after="0" w:line="240" w:lineRule="auto"/>
    </w:pPr>
    <w:rPr>
      <w:rFonts w:ascii="Arno Pro" w:hAnsi="Arno Pro" w:cs="Times New Roman"/>
      <w:kern w:val="20"/>
      <w:sz w:val="18"/>
      <w:szCs w:val="20"/>
    </w:rPr>
  </w:style>
  <w:style w:type="character" w:customStyle="1" w:styleId="StyleFACorrespondingAuthorFootnote7ptChar">
    <w:name w:val="Style FA_Corresponding_Author_Footnote + 7 pt Char"/>
    <w:link w:val="StyleFACorrespondingAuthorFootnote7pt"/>
    <w:rsid w:val="00474C0F"/>
    <w:rPr>
      <w:rFonts w:ascii="Arno Pro" w:hAnsi="Arno Pro" w:cs="Times New Roman"/>
      <w:kern w:val="20"/>
      <w:sz w:val="18"/>
      <w:szCs w:val="20"/>
    </w:rPr>
  </w:style>
  <w:style w:type="paragraph" w:customStyle="1" w:styleId="FAAuthorInfoSubtitle">
    <w:name w:val="FA_Author_Info_Subtitle"/>
    <w:basedOn w:val="Normal"/>
    <w:link w:val="FAAuthorInfoSubtitleChar"/>
    <w:autoRedefine/>
    <w:rsid w:val="00474C0F"/>
    <w:pPr>
      <w:spacing w:before="120" w:after="60" w:line="480" w:lineRule="auto"/>
    </w:pPr>
    <w:rPr>
      <w:rFonts w:ascii="Times" w:hAnsi="Times" w:cs="Times New Roman"/>
      <w:b/>
      <w:sz w:val="24"/>
      <w:szCs w:val="20"/>
    </w:rPr>
  </w:style>
  <w:style w:type="character" w:customStyle="1" w:styleId="FAAuthorInfoSubtitleChar">
    <w:name w:val="FA_Author_Info_Subtitle Char"/>
    <w:link w:val="FAAuthorInfoSubtitle"/>
    <w:rsid w:val="00474C0F"/>
    <w:rPr>
      <w:rFonts w:ascii="Times" w:hAnsi="Times" w:cs="Times New Roman"/>
      <w:b/>
      <w:sz w:val="24"/>
      <w:szCs w:val="20"/>
    </w:rPr>
  </w:style>
  <w:style w:type="paragraph" w:customStyle="1" w:styleId="Default">
    <w:name w:val="Default"/>
    <w:rsid w:val="00474C0F"/>
    <w:pPr>
      <w:autoSpaceDE w:val="0"/>
      <w:autoSpaceDN w:val="0"/>
      <w:adjustRightInd w:val="0"/>
      <w:spacing w:after="0" w:line="240" w:lineRule="auto"/>
    </w:pPr>
    <w:rPr>
      <w:rFonts w:ascii="Symbol" w:hAnsi="Symbol" w:cs="Symbol"/>
      <w:color w:val="000000"/>
      <w:sz w:val="24"/>
      <w:szCs w:val="24"/>
    </w:rPr>
  </w:style>
  <w:style w:type="character" w:styleId="PlaceholderText">
    <w:name w:val="Placeholder Text"/>
    <w:basedOn w:val="DefaultParagraphFont"/>
    <w:uiPriority w:val="99"/>
    <w:semiHidden/>
    <w:rsid w:val="00474C0F"/>
    <w:rPr>
      <w:color w:val="808080"/>
    </w:rPr>
  </w:style>
  <w:style w:type="paragraph" w:styleId="Header">
    <w:name w:val="header"/>
    <w:basedOn w:val="Normal"/>
    <w:link w:val="HeaderChar"/>
    <w:uiPriority w:val="99"/>
    <w:unhideWhenUsed/>
    <w:rsid w:val="00474C0F"/>
    <w:pPr>
      <w:widowControl w:val="0"/>
      <w:pBdr>
        <w:bottom w:val="single" w:sz="6" w:space="1" w:color="auto"/>
      </w:pBdr>
      <w:tabs>
        <w:tab w:val="center" w:pos="4153"/>
        <w:tab w:val="right" w:pos="8306"/>
      </w:tabs>
      <w:snapToGrid w:val="0"/>
      <w:spacing w:after="0" w:line="240" w:lineRule="auto"/>
      <w:jc w:val="center"/>
    </w:pPr>
    <w:rPr>
      <w:kern w:val="2"/>
      <w:sz w:val="18"/>
      <w:szCs w:val="18"/>
      <w:lang w:eastAsia="zh-CN"/>
    </w:rPr>
  </w:style>
  <w:style w:type="character" w:customStyle="1" w:styleId="HeaderChar">
    <w:name w:val="Header Char"/>
    <w:basedOn w:val="DefaultParagraphFont"/>
    <w:link w:val="Header"/>
    <w:uiPriority w:val="99"/>
    <w:rsid w:val="00474C0F"/>
    <w:rPr>
      <w:kern w:val="2"/>
      <w:sz w:val="18"/>
      <w:szCs w:val="18"/>
      <w:lang w:eastAsia="zh-CN"/>
    </w:rPr>
  </w:style>
  <w:style w:type="paragraph" w:styleId="ListParagraph">
    <w:name w:val="List Paragraph"/>
    <w:basedOn w:val="Normal"/>
    <w:uiPriority w:val="34"/>
    <w:qFormat/>
    <w:rsid w:val="00474C0F"/>
    <w:pPr>
      <w:widowControl w:val="0"/>
      <w:spacing w:after="0" w:line="240" w:lineRule="auto"/>
      <w:ind w:firstLineChars="200" w:firstLine="420"/>
      <w:jc w:val="both"/>
    </w:pPr>
    <w:rPr>
      <w:kern w:val="2"/>
      <w:sz w:val="21"/>
      <w:lang w:eastAsia="zh-CN"/>
    </w:rPr>
  </w:style>
  <w:style w:type="character" w:customStyle="1" w:styleId="a">
    <w:name w:val="_"/>
    <w:basedOn w:val="DefaultParagraphFont"/>
    <w:rsid w:val="00474C0F"/>
  </w:style>
  <w:style w:type="character" w:customStyle="1" w:styleId="ffb">
    <w:name w:val="ffb"/>
    <w:basedOn w:val="DefaultParagraphFont"/>
    <w:rsid w:val="00474C0F"/>
  </w:style>
  <w:style w:type="character" w:customStyle="1" w:styleId="ffc">
    <w:name w:val="ffc"/>
    <w:basedOn w:val="DefaultParagraphFont"/>
    <w:rsid w:val="00474C0F"/>
  </w:style>
  <w:style w:type="paragraph" w:styleId="Revision">
    <w:name w:val="Revision"/>
    <w:hidden/>
    <w:uiPriority w:val="99"/>
    <w:semiHidden/>
    <w:rsid w:val="00474C0F"/>
    <w:pPr>
      <w:spacing w:after="0" w:line="240" w:lineRule="auto"/>
    </w:pPr>
    <w:rPr>
      <w:kern w:val="2"/>
      <w:sz w:val="21"/>
      <w:lang w:eastAsia="zh-CN"/>
    </w:rPr>
  </w:style>
  <w:style w:type="paragraph" w:styleId="TOCHeading">
    <w:name w:val="TOC Heading"/>
    <w:basedOn w:val="Heading1"/>
    <w:next w:val="Normal"/>
    <w:uiPriority w:val="39"/>
    <w:unhideWhenUsed/>
    <w:qFormat/>
    <w:rsid w:val="00474C0F"/>
    <w:pPr>
      <w:spacing w:line="259" w:lineRule="auto"/>
      <w:outlineLvl w:val="9"/>
    </w:pPr>
    <w:rPr>
      <w:lang w:eastAsia="zh-CN"/>
    </w:rPr>
  </w:style>
  <w:style w:type="paragraph" w:styleId="TOC1">
    <w:name w:val="toc 1"/>
    <w:basedOn w:val="Normal"/>
    <w:next w:val="Normal"/>
    <w:autoRedefine/>
    <w:uiPriority w:val="39"/>
    <w:unhideWhenUsed/>
    <w:rsid w:val="00474C0F"/>
    <w:pPr>
      <w:widowControl w:val="0"/>
      <w:tabs>
        <w:tab w:val="right" w:leader="dot" w:pos="8296"/>
      </w:tabs>
      <w:spacing w:after="0" w:line="240" w:lineRule="auto"/>
      <w:jc w:val="both"/>
    </w:pPr>
    <w:rPr>
      <w:kern w:val="2"/>
      <w:sz w:val="21"/>
      <w:lang w:eastAsia="zh-CN"/>
    </w:rPr>
  </w:style>
  <w:style w:type="paragraph" w:customStyle="1" w:styleId="EndNoteBibliography">
    <w:name w:val="EndNote Bibliography"/>
    <w:basedOn w:val="Normal"/>
    <w:link w:val="EndNoteBibliographyChar"/>
    <w:rsid w:val="00474C0F"/>
    <w:pPr>
      <w:spacing w:after="0" w:line="240" w:lineRule="auto"/>
    </w:pPr>
    <w:rPr>
      <w:rFonts w:ascii="Arial" w:eastAsia="宋体" w:hAnsi="Arial" w:cs="Arial"/>
      <w:noProof/>
      <w:sz w:val="16"/>
      <w:szCs w:val="20"/>
    </w:rPr>
  </w:style>
  <w:style w:type="character" w:customStyle="1" w:styleId="EndNoteBibliographyChar">
    <w:name w:val="EndNote Bibliography Char"/>
    <w:link w:val="EndNoteBibliography"/>
    <w:rsid w:val="00474C0F"/>
    <w:rPr>
      <w:rFonts w:ascii="Arial" w:eastAsia="宋体" w:hAnsi="Arial" w:cs="Arial"/>
      <w:noProof/>
      <w:sz w:val="16"/>
      <w:szCs w:val="20"/>
    </w:rPr>
  </w:style>
  <w:style w:type="character" w:customStyle="1" w:styleId="EndNoteBibliography0">
    <w:name w:val="EndNote Bibliography 字符"/>
    <w:basedOn w:val="DefaultParagraphFont"/>
    <w:rsid w:val="00155DB2"/>
    <w:rPr>
      <w:rFonts w:ascii="等线" w:eastAsia="等线" w:hAnsi="等线"/>
      <w:noProof/>
      <w:kern w:val="2"/>
      <w:sz w:val="20"/>
      <w:lang w:eastAsia="zh-CN"/>
    </w:rPr>
  </w:style>
  <w:style w:type="paragraph" w:customStyle="1" w:styleId="EndNoteBibliographyTitle">
    <w:name w:val="EndNote Bibliography Title"/>
    <w:basedOn w:val="Normal"/>
    <w:link w:val="EndNoteBibliographyTitle0"/>
    <w:rsid w:val="0046600E"/>
    <w:pPr>
      <w:spacing w:after="0"/>
      <w:jc w:val="center"/>
    </w:pPr>
    <w:rPr>
      <w:rFonts w:ascii="Arial" w:hAnsi="Arial" w:cs="Arial"/>
      <w:noProof/>
      <w:sz w:val="16"/>
    </w:rPr>
  </w:style>
  <w:style w:type="character" w:customStyle="1" w:styleId="EndNoteBibliographyTitle0">
    <w:name w:val="EndNote Bibliography Title 字符"/>
    <w:basedOn w:val="09BodyFirstParagraphChar"/>
    <w:link w:val="EndNoteBibliographyTitle"/>
    <w:rsid w:val="0046600E"/>
    <w:rPr>
      <w:rFonts w:ascii="Arial" w:hAnsi="Arial" w:cs="Arial"/>
      <w:noProof/>
      <w:color w:val="000000" w:themeColor="text1"/>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EAB283-C98E-4592-AD3B-A8A475893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10</Pages>
  <Words>5192</Words>
  <Characters>29599</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OSA</Company>
  <LinksUpToDate>false</LinksUpToDate>
  <CharactersWithSpaces>34722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Mayfield</dc:creator>
  <cp:lastModifiedBy>Jiyong WANG 王纪永</cp:lastModifiedBy>
  <cp:revision>42</cp:revision>
  <dcterms:created xsi:type="dcterms:W3CDTF">2022-07-17T10:23:00Z</dcterms:created>
  <dcterms:modified xsi:type="dcterms:W3CDTF">2022-07-19T05:15:00Z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